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395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282"/>
        <w:gridCol w:w="3930"/>
        <w:gridCol w:w="16"/>
        <w:gridCol w:w="136"/>
        <w:gridCol w:w="4031"/>
      </w:tblGrid>
      <w:tr w:rsidR="00700334" w:rsidRPr="00E24F1D" w:rsidTr="00D746B1">
        <w:tc>
          <w:tcPr>
            <w:tcW w:w="2282" w:type="dxa"/>
          </w:tcPr>
          <w:p w:rsidR="00BC1454" w:rsidRPr="00E24F1D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946" w:type="dxa"/>
            <w:gridSpan w:val="2"/>
          </w:tcPr>
          <w:p w:rsidR="00BC1454" w:rsidRPr="00E24F1D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67" w:type="dxa"/>
            <w:gridSpan w:val="2"/>
          </w:tcPr>
          <w:p w:rsidR="00BC1454" w:rsidRPr="00E24F1D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E83E0B" w:rsidRPr="00E24F1D" w:rsidTr="00D746B1">
        <w:tc>
          <w:tcPr>
            <w:tcW w:w="2282" w:type="dxa"/>
          </w:tcPr>
          <w:p w:rsidR="00E83E0B" w:rsidRPr="008B5357" w:rsidRDefault="00E83E0B" w:rsidP="00E83E0B">
            <w:pPr>
              <w:rPr>
                <w:rFonts w:ascii="標楷體" w:eastAsia="標楷體" w:hAnsi="標楷體"/>
              </w:rPr>
            </w:pPr>
            <w:r w:rsidRPr="008B5357">
              <w:rPr>
                <w:rFonts w:ascii="標楷體" w:eastAsia="標楷體" w:hAnsi="標楷體" w:hint="eastAsia"/>
              </w:rPr>
              <w:t>代碼：</w:t>
            </w:r>
            <w:r w:rsidRPr="008B5357">
              <w:rPr>
                <w:rFonts w:ascii="Times New Roman" w:eastAsia="標楷體" w:hAnsi="Times New Roman" w:cs="Times New Roman"/>
              </w:rPr>
              <w:t>OBUTA</w:t>
            </w:r>
          </w:p>
          <w:p w:rsidR="00E83E0B" w:rsidRPr="008B5357" w:rsidRDefault="00E83E0B" w:rsidP="00E83E0B">
            <w:pPr>
              <w:rPr>
                <w:rFonts w:ascii="標楷體" w:eastAsia="標楷體" w:hAnsi="標楷體"/>
              </w:rPr>
            </w:pPr>
            <w:r w:rsidRPr="008B5357">
              <w:rPr>
                <w:rFonts w:ascii="標楷體" w:eastAsia="標楷體" w:hAnsi="標楷體" w:hint="eastAsia"/>
              </w:rPr>
              <w:t>商品名：</w:t>
            </w:r>
            <w:r w:rsidRPr="008B5357">
              <w:rPr>
                <w:rFonts w:ascii="Times New Roman" w:eastAsia="標楷體" w:hAnsi="Times New Roman" w:cs="Times New Roman"/>
              </w:rPr>
              <w:t>Butmira</w:t>
            </w:r>
          </w:p>
          <w:p w:rsidR="00E83E0B" w:rsidRPr="008B5357" w:rsidRDefault="00E83E0B" w:rsidP="00E83E0B">
            <w:pPr>
              <w:rPr>
                <w:rFonts w:ascii="Times New Roman" w:eastAsia="標楷體" w:hAnsi="Times New Roman" w:cs="Times New Roman"/>
              </w:rPr>
            </w:pPr>
            <w:r w:rsidRPr="008B5357">
              <w:rPr>
                <w:rFonts w:ascii="標楷體" w:eastAsia="標楷體" w:hAnsi="標楷體" w:hint="eastAsia"/>
              </w:rPr>
              <w:t>成份：</w:t>
            </w:r>
            <w:r w:rsidRPr="008B5357">
              <w:rPr>
                <w:rFonts w:ascii="Times New Roman" w:eastAsia="標楷體" w:hAnsi="Times New Roman" w:cs="Times New Roman"/>
              </w:rPr>
              <w:t>Butamirate citrate</w:t>
            </w:r>
          </w:p>
          <w:p w:rsidR="00E83E0B" w:rsidRPr="008B5357" w:rsidRDefault="00E83E0B" w:rsidP="00E83E0B">
            <w:pPr>
              <w:rPr>
                <w:rFonts w:ascii="Times New Roman" w:eastAsia="標楷體" w:hAnsi="Times New Roman" w:cs="Times New Roman"/>
              </w:rPr>
            </w:pPr>
            <w:r w:rsidRPr="008B5357">
              <w:rPr>
                <w:rFonts w:ascii="標楷體" w:eastAsia="標楷體" w:hAnsi="標楷體" w:hint="eastAsia"/>
              </w:rPr>
              <w:t>劑量：</w:t>
            </w:r>
            <w:r w:rsidRPr="008B5357">
              <w:rPr>
                <w:rFonts w:ascii="Times New Roman" w:eastAsia="標楷體" w:hAnsi="Times New Roman" w:cs="Times New Roman"/>
              </w:rPr>
              <w:t>0.8mg/ml</w:t>
            </w:r>
            <w:r w:rsidRPr="008B5357">
              <w:rPr>
                <w:rFonts w:ascii="Times New Roman" w:eastAsia="標楷體" w:hAnsi="Times New Roman" w:cs="Times New Roman"/>
              </w:rPr>
              <w:t>，</w:t>
            </w:r>
            <w:r w:rsidRPr="008B5357">
              <w:rPr>
                <w:rFonts w:ascii="Times New Roman" w:eastAsia="標楷體" w:hAnsi="Times New Roman" w:cs="Times New Roman"/>
              </w:rPr>
              <w:t>120ml/bot</w:t>
            </w:r>
          </w:p>
          <w:p w:rsidR="00E83E0B" w:rsidRPr="008B5357" w:rsidRDefault="00E83E0B" w:rsidP="00E83E0B">
            <w:pPr>
              <w:rPr>
                <w:rFonts w:ascii="標楷體" w:eastAsia="標楷體" w:hAnsi="標楷體"/>
              </w:rPr>
            </w:pPr>
            <w:r w:rsidRPr="008B5357">
              <w:rPr>
                <w:rFonts w:ascii="標楷體" w:eastAsia="標楷體" w:hAnsi="標楷體" w:hint="eastAsia"/>
              </w:rPr>
              <w:t>適應症：鎮咳(感冒、支氣管炎、氣喘性支氣管炎所引起之咳嗽)。</w:t>
            </w:r>
          </w:p>
          <w:p w:rsidR="00E83E0B" w:rsidRPr="00E83E0B" w:rsidRDefault="00E83E0B" w:rsidP="00E83E0B">
            <w:r w:rsidRPr="008B5357">
              <w:rPr>
                <w:rFonts w:ascii="標楷體" w:eastAsia="標楷體" w:hAnsi="標楷體" w:hint="eastAsia"/>
              </w:rPr>
              <w:t>用法用量：成人：每次</w:t>
            </w:r>
            <w:r w:rsidRPr="008B5357">
              <w:rPr>
                <w:rFonts w:ascii="Times New Roman" w:eastAsia="標楷體" w:hAnsi="Times New Roman" w:cs="Times New Roman"/>
              </w:rPr>
              <w:t>7.5 mL</w:t>
            </w:r>
            <w:r w:rsidRPr="008B5357">
              <w:rPr>
                <w:rFonts w:ascii="標楷體" w:eastAsia="標楷體" w:hAnsi="標楷體" w:hint="eastAsia"/>
              </w:rPr>
              <w:t>，每日</w:t>
            </w:r>
            <w:r w:rsidRPr="008B5357">
              <w:rPr>
                <w:rFonts w:ascii="Times New Roman" w:eastAsia="標楷體" w:hAnsi="Times New Roman" w:cs="Times New Roman"/>
              </w:rPr>
              <w:t>3~4</w:t>
            </w:r>
            <w:r w:rsidRPr="008B5357">
              <w:rPr>
                <w:rFonts w:ascii="標楷體" w:eastAsia="標楷體" w:hAnsi="標楷體" w:hint="eastAsia"/>
              </w:rPr>
              <w:t>次。兒童：每次</w:t>
            </w:r>
            <w:r w:rsidRPr="008B5357">
              <w:rPr>
                <w:rFonts w:ascii="Times New Roman" w:eastAsia="標楷體" w:hAnsi="Times New Roman" w:cs="Times New Roman"/>
              </w:rPr>
              <w:t>5 mL</w:t>
            </w:r>
            <w:r w:rsidRPr="008B5357">
              <w:rPr>
                <w:rFonts w:ascii="標楷體" w:eastAsia="標楷體" w:hAnsi="標楷體" w:hint="eastAsia"/>
              </w:rPr>
              <w:t>，每日</w:t>
            </w:r>
            <w:r w:rsidRPr="008B5357">
              <w:rPr>
                <w:rFonts w:ascii="Times New Roman" w:eastAsia="標楷體" w:hAnsi="Times New Roman" w:cs="Times New Roman"/>
              </w:rPr>
              <w:t>3</w:t>
            </w:r>
            <w:r w:rsidRPr="008B5357">
              <w:rPr>
                <w:rFonts w:ascii="標楷體" w:eastAsia="標楷體" w:hAnsi="標楷體" w:hint="eastAsia"/>
              </w:rPr>
              <w:t>次。</w:t>
            </w:r>
          </w:p>
        </w:tc>
        <w:tc>
          <w:tcPr>
            <w:tcW w:w="3930" w:type="dxa"/>
          </w:tcPr>
          <w:p w:rsidR="00E83E0B" w:rsidRPr="00E24F1D" w:rsidRDefault="00E83E0B" w:rsidP="00F14873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1D0FA9FE" wp14:editId="7CF948BD">
                  <wp:extent cx="2520563" cy="2743200"/>
                  <wp:effectExtent l="0" t="0" r="0" b="0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l="60840" t="41870" r="19399" b="28303"/>
                          <a:stretch/>
                        </pic:blipFill>
                        <pic:spPr bwMode="auto">
                          <a:xfrm>
                            <a:off x="0" y="0"/>
                            <a:ext cx="2525233" cy="27482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3" w:type="dxa"/>
            <w:gridSpan w:val="3"/>
          </w:tcPr>
          <w:p w:rsidR="00E83E0B" w:rsidRPr="00E24F1D" w:rsidRDefault="00E83E0B" w:rsidP="00F14873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-42380</wp:posOffset>
                  </wp:positionH>
                  <wp:positionV relativeFrom="paragraph">
                    <wp:posOffset>23081</wp:posOffset>
                  </wp:positionV>
                  <wp:extent cx="2568271" cy="2411770"/>
                  <wp:effectExtent l="0" t="0" r="3810" b="7620"/>
                  <wp:wrapNone/>
                  <wp:docPr id="8" name="圖片 8" descr="AC58546151 | 藥品資訊| 就醫指南| 天主教耕莘醫療財團法人耕莘醫院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C58546151 | 藥品資訊| 就醫指南| 天主教耕莘醫療財團法人耕莘醫院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9579"/>
                          <a:stretch/>
                        </pic:blipFill>
                        <pic:spPr bwMode="auto">
                          <a:xfrm>
                            <a:off x="0" y="0"/>
                            <a:ext cx="2576253" cy="2419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86B3D" w:rsidRPr="00E24F1D" w:rsidTr="00E83E0B">
        <w:tc>
          <w:tcPr>
            <w:tcW w:w="2282" w:type="dxa"/>
          </w:tcPr>
          <w:p w:rsidR="00BC1454" w:rsidRPr="00B3652B" w:rsidRDefault="00E83E0B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8113" w:type="dxa"/>
            <w:gridSpan w:val="4"/>
          </w:tcPr>
          <w:p w:rsidR="00BC1454" w:rsidRPr="00E24F1D" w:rsidRDefault="00E83E0B" w:rsidP="00C312FA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容量更換</w:t>
            </w:r>
          </w:p>
        </w:tc>
      </w:tr>
      <w:tr w:rsidR="00700334" w:rsidRPr="00A86B3D" w:rsidTr="00D746B1">
        <w:tc>
          <w:tcPr>
            <w:tcW w:w="2282" w:type="dxa"/>
          </w:tcPr>
          <w:p w:rsidR="00E972B7" w:rsidRPr="00E972B7" w:rsidRDefault="00E972B7" w:rsidP="00E972B7">
            <w:pPr>
              <w:rPr>
                <w:rFonts w:ascii="Times New Roman" w:eastAsia="標楷體" w:hAnsi="Times New Roman" w:cs="Times New Roman"/>
              </w:rPr>
            </w:pPr>
            <w:r w:rsidRPr="00E972B7">
              <w:rPr>
                <w:rFonts w:ascii="標楷體" w:eastAsia="標楷體" w:hAnsi="標楷體" w:hint="eastAsia"/>
              </w:rPr>
              <w:t>代碼：</w:t>
            </w:r>
            <w:r w:rsidRPr="00E972B7">
              <w:rPr>
                <w:rFonts w:ascii="Times New Roman" w:eastAsia="標楷體" w:hAnsi="Times New Roman" w:cs="Times New Roman"/>
              </w:rPr>
              <w:t>ERIND</w:t>
            </w:r>
          </w:p>
          <w:p w:rsidR="00E972B7" w:rsidRPr="00E972B7" w:rsidRDefault="00E972B7" w:rsidP="00E972B7">
            <w:pPr>
              <w:rPr>
                <w:rFonts w:ascii="標楷體" w:eastAsia="標楷體" w:hAnsi="標楷體"/>
              </w:rPr>
            </w:pPr>
            <w:r w:rsidRPr="00E972B7">
              <w:rPr>
                <w:rFonts w:ascii="標楷體" w:eastAsia="標楷體" w:hAnsi="標楷體" w:hint="eastAsia"/>
              </w:rPr>
              <w:t>商品名：</w:t>
            </w:r>
            <w:r w:rsidRPr="00E972B7">
              <w:rPr>
                <w:rFonts w:ascii="Times New Roman" w:eastAsia="標楷體" w:hAnsi="Times New Roman" w:cs="Times New Roman"/>
              </w:rPr>
              <w:t xml:space="preserve">Rinderon-VA </w:t>
            </w:r>
            <w:r w:rsidRPr="00E972B7">
              <w:rPr>
                <w:rFonts w:ascii="標楷體" w:eastAsia="標楷體" w:hAnsi="標楷體" w:hint="eastAsia"/>
              </w:rPr>
              <w:t>(台灣</w:t>
            </w:r>
            <w:r w:rsidRPr="00E972B7">
              <w:rPr>
                <w:rFonts w:ascii="標楷體" w:eastAsia="標楷體" w:hAnsi="標楷體" w:cs="Meiryo" w:hint="eastAsia"/>
                <w:color w:val="2D313F"/>
              </w:rPr>
              <w:t>塩</w:t>
            </w:r>
            <w:r w:rsidRPr="00E972B7">
              <w:rPr>
                <w:rFonts w:ascii="標楷體" w:eastAsia="標楷體" w:hAnsi="標楷體" w:hint="eastAsia"/>
              </w:rPr>
              <w:t>野義製藥股份有限公司)</w:t>
            </w:r>
          </w:p>
          <w:p w:rsidR="00E972B7" w:rsidRPr="00E972B7" w:rsidRDefault="00E972B7" w:rsidP="00E972B7">
            <w:pPr>
              <w:rPr>
                <w:rFonts w:ascii="Times New Roman" w:eastAsia="標楷體" w:hAnsi="Times New Roman" w:cs="Times New Roman"/>
              </w:rPr>
            </w:pPr>
            <w:r w:rsidRPr="00E972B7">
              <w:rPr>
                <w:rFonts w:ascii="標楷體" w:eastAsia="標楷體" w:hAnsi="標楷體" w:hint="eastAsia"/>
              </w:rPr>
              <w:t>成份：</w:t>
            </w:r>
            <w:r w:rsidRPr="00E972B7">
              <w:rPr>
                <w:rFonts w:ascii="Times New Roman" w:eastAsia="標楷體" w:hAnsi="Times New Roman" w:cs="Times New Roman"/>
              </w:rPr>
              <w:t xml:space="preserve">Betamethasone valerate 0.6mg/Fradiomycin sulfate 3.5mg </w:t>
            </w:r>
          </w:p>
          <w:p w:rsidR="00E972B7" w:rsidRPr="00E972B7" w:rsidRDefault="00E972B7" w:rsidP="00E972B7">
            <w:pPr>
              <w:rPr>
                <w:rFonts w:ascii="Times New Roman" w:eastAsia="標楷體" w:hAnsi="Times New Roman" w:cs="Times New Roman"/>
              </w:rPr>
            </w:pPr>
            <w:r w:rsidRPr="00E972B7">
              <w:rPr>
                <w:rFonts w:ascii="標楷體" w:eastAsia="標楷體" w:hAnsi="標楷體" w:hint="eastAsia"/>
              </w:rPr>
              <w:t>劑量：</w:t>
            </w:r>
            <w:r w:rsidRPr="00E972B7">
              <w:rPr>
                <w:rFonts w:ascii="Times New Roman" w:eastAsia="標楷體" w:hAnsi="Times New Roman" w:cs="Times New Roman"/>
              </w:rPr>
              <w:t>0.06% 5g/tub</w:t>
            </w:r>
          </w:p>
          <w:p w:rsidR="00E972B7" w:rsidRPr="00E972B7" w:rsidRDefault="00E972B7" w:rsidP="00E972B7">
            <w:pPr>
              <w:ind w:left="1440" w:hangingChars="600" w:hanging="1440"/>
              <w:rPr>
                <w:rFonts w:ascii="標楷體" w:eastAsia="標楷體" w:hAnsi="標楷體"/>
              </w:rPr>
            </w:pPr>
            <w:r w:rsidRPr="00E972B7">
              <w:rPr>
                <w:rFonts w:ascii="標楷體" w:eastAsia="標楷體" w:hAnsi="標楷體" w:hint="eastAsia"/>
              </w:rPr>
              <w:t>適應症：濕疹及類</w:t>
            </w:r>
          </w:p>
          <w:p w:rsidR="00E972B7" w:rsidRPr="00E972B7" w:rsidRDefault="00E972B7" w:rsidP="00E972B7">
            <w:pPr>
              <w:ind w:left="1440" w:hangingChars="600" w:hanging="1440"/>
              <w:rPr>
                <w:rFonts w:ascii="標楷體" w:eastAsia="標楷體" w:hAnsi="標楷體"/>
              </w:rPr>
            </w:pPr>
            <w:r w:rsidRPr="00E972B7">
              <w:rPr>
                <w:rFonts w:ascii="標楷體" w:eastAsia="標楷體" w:hAnsi="標楷體" w:hint="eastAsia"/>
              </w:rPr>
              <w:t>似疾患、火傷、濕</w:t>
            </w:r>
          </w:p>
          <w:p w:rsidR="00E972B7" w:rsidRPr="00E972B7" w:rsidRDefault="00E972B7" w:rsidP="00E972B7">
            <w:pPr>
              <w:ind w:left="1440" w:hangingChars="600" w:hanging="1440"/>
              <w:rPr>
                <w:rFonts w:ascii="標楷體" w:eastAsia="標楷體" w:hAnsi="標楷體"/>
              </w:rPr>
            </w:pPr>
            <w:r w:rsidRPr="00E972B7">
              <w:rPr>
                <w:rFonts w:ascii="標楷體" w:eastAsia="標楷體" w:hAnsi="標楷體" w:hint="eastAsia"/>
              </w:rPr>
              <w:t>疹性外耳道炎、耳</w:t>
            </w:r>
          </w:p>
          <w:p w:rsidR="00E972B7" w:rsidRPr="00E972B7" w:rsidRDefault="00E972B7" w:rsidP="00E972B7">
            <w:pPr>
              <w:ind w:left="1440" w:hangingChars="600" w:hanging="1440"/>
              <w:rPr>
                <w:rFonts w:ascii="標楷體" w:eastAsia="標楷體" w:hAnsi="標楷體"/>
              </w:rPr>
            </w:pPr>
            <w:r w:rsidRPr="00E972B7">
              <w:rPr>
                <w:rFonts w:ascii="標楷體" w:eastAsia="標楷體" w:hAnsi="標楷體" w:hint="eastAsia"/>
              </w:rPr>
              <w:t>殼周圍炎、耳殼皮</w:t>
            </w:r>
          </w:p>
          <w:p w:rsidR="00E972B7" w:rsidRPr="00E972B7" w:rsidRDefault="00E972B7" w:rsidP="00E972B7">
            <w:pPr>
              <w:ind w:left="1440" w:hangingChars="600" w:hanging="1440"/>
              <w:rPr>
                <w:rFonts w:ascii="標楷體" w:eastAsia="標楷體" w:hAnsi="標楷體"/>
              </w:rPr>
            </w:pPr>
            <w:r w:rsidRPr="00E972B7">
              <w:rPr>
                <w:rFonts w:ascii="標楷體" w:eastAsia="標楷體" w:hAnsi="標楷體" w:hint="eastAsia"/>
              </w:rPr>
              <w:t>膚炎、手術創傷、</w:t>
            </w:r>
          </w:p>
          <w:p w:rsidR="00E972B7" w:rsidRPr="00E972B7" w:rsidRDefault="00E972B7" w:rsidP="00E972B7">
            <w:pPr>
              <w:ind w:left="1440" w:hangingChars="600" w:hanging="1440"/>
              <w:rPr>
                <w:rFonts w:ascii="標楷體" w:eastAsia="標楷體" w:hAnsi="標楷體"/>
              </w:rPr>
            </w:pPr>
            <w:r w:rsidRPr="00E972B7">
              <w:rPr>
                <w:rFonts w:ascii="標楷體" w:eastAsia="標楷體" w:hAnsi="標楷體" w:hint="eastAsia"/>
              </w:rPr>
              <w:t>進行性壞疽性鼻</w:t>
            </w:r>
          </w:p>
          <w:p w:rsidR="00E972B7" w:rsidRPr="00E972B7" w:rsidRDefault="00E972B7" w:rsidP="00E972B7">
            <w:pPr>
              <w:ind w:left="1440" w:hangingChars="600" w:hanging="1440"/>
              <w:rPr>
                <w:rFonts w:ascii="標楷體" w:eastAsia="標楷體" w:hAnsi="標楷體"/>
              </w:rPr>
            </w:pPr>
            <w:r w:rsidRPr="00E972B7">
              <w:rPr>
                <w:rFonts w:ascii="標楷體" w:eastAsia="標楷體" w:hAnsi="標楷體" w:hint="eastAsia"/>
              </w:rPr>
              <w:t>炎、鼻前庭及周圍</w:t>
            </w:r>
          </w:p>
          <w:p w:rsidR="00E972B7" w:rsidRPr="00E972B7" w:rsidRDefault="00E972B7" w:rsidP="00E972B7">
            <w:pPr>
              <w:ind w:left="1440" w:hangingChars="600" w:hanging="1440"/>
              <w:rPr>
                <w:rFonts w:ascii="標楷體" w:eastAsia="標楷體" w:hAnsi="標楷體"/>
              </w:rPr>
            </w:pPr>
            <w:r w:rsidRPr="00E972B7">
              <w:rPr>
                <w:rFonts w:ascii="標楷體" w:eastAsia="標楷體" w:hAnsi="標楷體" w:hint="eastAsia"/>
              </w:rPr>
              <w:t>炎及其它適應症。</w:t>
            </w:r>
          </w:p>
          <w:p w:rsidR="00BC1454" w:rsidRPr="00A86B3D" w:rsidRDefault="00E972B7" w:rsidP="00E972B7">
            <w:pPr>
              <w:rPr>
                <w:rFonts w:ascii="Times New Roman" w:eastAsia="標楷體" w:hAnsi="Times New Roman" w:cs="Times New Roman"/>
              </w:rPr>
            </w:pPr>
            <w:r w:rsidRPr="00E972B7">
              <w:rPr>
                <w:rFonts w:ascii="標楷體" w:eastAsia="標楷體" w:hAnsi="標楷體" w:hint="eastAsia"/>
              </w:rPr>
              <w:t>用法用量：1 日1～數次塗敷患部。</w:t>
            </w:r>
          </w:p>
        </w:tc>
        <w:tc>
          <w:tcPr>
            <w:tcW w:w="3946" w:type="dxa"/>
            <w:gridSpan w:val="2"/>
          </w:tcPr>
          <w:p w:rsidR="00BC1454" w:rsidRPr="00A86B3D" w:rsidRDefault="00E972B7" w:rsidP="00CF4068">
            <w:pPr>
              <w:rPr>
                <w:rFonts w:ascii="Times New Roman" w:eastAsia="標楷體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>
                  <wp:extent cx="2344808" cy="1757238"/>
                  <wp:effectExtent l="0" t="0" r="0" b="0"/>
                  <wp:docPr id="2" name="圖片 2" descr="臨得隆維膚水溶性軟膏０．０６％的功效、正確用法及成分- 康健知識庫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臨得隆維膚水溶性軟膏０．０６％的功效、正確用法及成分- 康健知識庫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4933" cy="17798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67" w:type="dxa"/>
            <w:gridSpan w:val="2"/>
          </w:tcPr>
          <w:p w:rsidR="00BC1454" w:rsidRPr="00A86B3D" w:rsidRDefault="00E972B7" w:rsidP="00CF4068">
            <w:pPr>
              <w:rPr>
                <w:rFonts w:ascii="Times New Roman" w:eastAsia="標楷體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>
                  <wp:extent cx="2349021" cy="1717482"/>
                  <wp:effectExtent l="0" t="0" r="0" b="0"/>
                  <wp:docPr id="3" name="圖片 3" descr="彼膚妥軟膏--西藥製藥-生達化學製藥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彼膚妥軟膏--西藥製藥-生達化學製藥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834" t="33658" r="18648"/>
                          <a:stretch/>
                        </pic:blipFill>
                        <pic:spPr bwMode="auto">
                          <a:xfrm>
                            <a:off x="0" y="0"/>
                            <a:ext cx="2377938" cy="1738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293F" w:rsidRPr="00A86B3D" w:rsidTr="00D746B1">
        <w:tc>
          <w:tcPr>
            <w:tcW w:w="2282" w:type="dxa"/>
          </w:tcPr>
          <w:p w:rsidR="0085293F" w:rsidRPr="00E972B7" w:rsidRDefault="0085293F" w:rsidP="00E972B7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lastRenderedPageBreak/>
              <w:t>ˊˊ站站</w:t>
            </w:r>
            <w:bookmarkStart w:id="0" w:name="_GoBack"/>
            <w:bookmarkEnd w:id="0"/>
          </w:p>
        </w:tc>
        <w:tc>
          <w:tcPr>
            <w:tcW w:w="3946" w:type="dxa"/>
            <w:gridSpan w:val="2"/>
          </w:tcPr>
          <w:p w:rsidR="0085293F" w:rsidRDefault="0085293F" w:rsidP="00CF4068">
            <w:pPr>
              <w:rPr>
                <w:noProof/>
              </w:rPr>
            </w:pPr>
          </w:p>
        </w:tc>
        <w:tc>
          <w:tcPr>
            <w:tcW w:w="4167" w:type="dxa"/>
            <w:gridSpan w:val="2"/>
          </w:tcPr>
          <w:p w:rsidR="0085293F" w:rsidRDefault="0085293F" w:rsidP="00CF4068">
            <w:pPr>
              <w:rPr>
                <w:noProof/>
              </w:rPr>
            </w:pPr>
          </w:p>
        </w:tc>
      </w:tr>
      <w:tr w:rsidR="005D2131" w:rsidRPr="00A86B3D" w:rsidTr="00F14873">
        <w:tc>
          <w:tcPr>
            <w:tcW w:w="10395" w:type="dxa"/>
            <w:gridSpan w:val="5"/>
          </w:tcPr>
          <w:p w:rsidR="005D2131" w:rsidRPr="00A86B3D" w:rsidRDefault="005D2131" w:rsidP="00CF4068">
            <w:pPr>
              <w:rPr>
                <w:rFonts w:ascii="Times New Roman" w:eastAsia="標楷體" w:hAnsi="Times New Roman" w:cs="Times New Roman"/>
                <w:noProof/>
              </w:rPr>
            </w:pPr>
          </w:p>
        </w:tc>
      </w:tr>
      <w:tr w:rsidR="00A86B3D" w:rsidRPr="00E24F1D" w:rsidTr="00E83E0B">
        <w:tc>
          <w:tcPr>
            <w:tcW w:w="2282" w:type="dxa"/>
          </w:tcPr>
          <w:p w:rsidR="00BC1454" w:rsidRPr="0000549B" w:rsidRDefault="00E972B7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8113" w:type="dxa"/>
            <w:gridSpan w:val="4"/>
          </w:tcPr>
          <w:p w:rsidR="00BC1454" w:rsidRPr="00E24F1D" w:rsidRDefault="00D746B1" w:rsidP="00CF406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廠商更換</w:t>
            </w:r>
          </w:p>
        </w:tc>
      </w:tr>
      <w:tr w:rsidR="00E972B7" w:rsidRPr="00E24F1D" w:rsidTr="00D746B1">
        <w:tc>
          <w:tcPr>
            <w:tcW w:w="2282" w:type="dxa"/>
          </w:tcPr>
          <w:p w:rsidR="00E972B7" w:rsidRPr="00E24F1D" w:rsidRDefault="00E972B7" w:rsidP="00E972B7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946" w:type="dxa"/>
            <w:gridSpan w:val="2"/>
          </w:tcPr>
          <w:p w:rsidR="00E972B7" w:rsidRPr="00E24F1D" w:rsidRDefault="00E972B7" w:rsidP="00E972B7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67" w:type="dxa"/>
            <w:gridSpan w:val="2"/>
          </w:tcPr>
          <w:p w:rsidR="00E972B7" w:rsidRPr="00E24F1D" w:rsidRDefault="00E972B7" w:rsidP="00E972B7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E972B7" w:rsidRPr="00E24F1D" w:rsidTr="00D746B1">
        <w:trPr>
          <w:trHeight w:val="4249"/>
        </w:trPr>
        <w:tc>
          <w:tcPr>
            <w:tcW w:w="2282" w:type="dxa"/>
          </w:tcPr>
          <w:p w:rsidR="00E972B7" w:rsidRPr="00D746B1" w:rsidRDefault="00E972B7" w:rsidP="00E972B7">
            <w:pPr>
              <w:rPr>
                <w:rFonts w:ascii="標楷體" w:eastAsia="標楷體" w:hAnsi="標楷體"/>
              </w:rPr>
            </w:pPr>
            <w:r w:rsidRPr="00D746B1">
              <w:rPr>
                <w:rFonts w:ascii="標楷體" w:eastAsia="標楷體" w:hAnsi="標楷體" w:hint="eastAsia"/>
              </w:rPr>
              <w:t>代碼：</w:t>
            </w:r>
            <w:r w:rsidRPr="00D746B1">
              <w:rPr>
                <w:rFonts w:ascii="Times New Roman" w:eastAsia="標楷體" w:hAnsi="Times New Roman" w:cs="Times New Roman"/>
              </w:rPr>
              <w:t>OELTR5</w:t>
            </w:r>
          </w:p>
          <w:p w:rsidR="00E972B7" w:rsidRPr="00D746B1" w:rsidRDefault="00E972B7" w:rsidP="00E972B7">
            <w:pPr>
              <w:rPr>
                <w:rFonts w:ascii="標楷體" w:eastAsia="標楷體" w:hAnsi="標楷體"/>
              </w:rPr>
            </w:pPr>
            <w:r w:rsidRPr="00D746B1">
              <w:rPr>
                <w:rFonts w:ascii="標楷體" w:eastAsia="標楷體" w:hAnsi="標楷體" w:hint="eastAsia"/>
              </w:rPr>
              <w:t>商品名：</w:t>
            </w:r>
            <w:r w:rsidRPr="00D746B1">
              <w:rPr>
                <w:rFonts w:ascii="Times New Roman" w:eastAsia="標楷體" w:hAnsi="Times New Roman" w:cs="Times New Roman"/>
              </w:rPr>
              <w:t>Eltroxin</w:t>
            </w:r>
            <w:r w:rsidRPr="00D746B1">
              <w:rPr>
                <w:rFonts w:ascii="標楷體" w:eastAsia="標楷體" w:hAnsi="標楷體" w:hint="eastAsia"/>
              </w:rPr>
              <w:t xml:space="preserve"> (荷商葛蘭素史克)</w:t>
            </w:r>
          </w:p>
          <w:p w:rsidR="00E972B7" w:rsidRPr="00D746B1" w:rsidRDefault="00E972B7" w:rsidP="00E972B7">
            <w:pPr>
              <w:rPr>
                <w:rFonts w:ascii="Times New Roman" w:eastAsia="標楷體" w:hAnsi="Times New Roman" w:cs="Times New Roman"/>
              </w:rPr>
            </w:pPr>
            <w:r w:rsidRPr="00D746B1">
              <w:rPr>
                <w:rFonts w:ascii="標楷體" w:eastAsia="標楷體" w:hAnsi="標楷體" w:hint="eastAsia"/>
              </w:rPr>
              <w:t>成份：</w:t>
            </w:r>
            <w:r w:rsidRPr="00D746B1">
              <w:rPr>
                <w:rFonts w:ascii="Times New Roman" w:eastAsia="標楷體" w:hAnsi="Times New Roman" w:cs="Times New Roman"/>
              </w:rPr>
              <w:t>THYROXINE SODIUM</w:t>
            </w:r>
          </w:p>
          <w:p w:rsidR="00E972B7" w:rsidRPr="00D746B1" w:rsidRDefault="00E972B7" w:rsidP="00E972B7">
            <w:pPr>
              <w:rPr>
                <w:rFonts w:ascii="標楷體" w:eastAsia="標楷體" w:hAnsi="標楷體"/>
              </w:rPr>
            </w:pPr>
            <w:r w:rsidRPr="00D746B1">
              <w:rPr>
                <w:rFonts w:ascii="標楷體" w:eastAsia="標楷體" w:hAnsi="標楷體" w:hint="eastAsia"/>
              </w:rPr>
              <w:t>劑量：</w:t>
            </w:r>
            <w:r w:rsidRPr="00D746B1">
              <w:rPr>
                <w:rFonts w:ascii="Times New Roman" w:eastAsia="標楷體" w:hAnsi="Times New Roman" w:cs="Times New Roman"/>
              </w:rPr>
              <w:t>50mcg/tab</w:t>
            </w:r>
          </w:p>
          <w:p w:rsidR="00E972B7" w:rsidRPr="00D746B1" w:rsidRDefault="00E972B7" w:rsidP="00E972B7">
            <w:pPr>
              <w:ind w:left="1440" w:hangingChars="600" w:hanging="1440"/>
              <w:rPr>
                <w:rFonts w:ascii="標楷體" w:eastAsia="標楷體" w:hAnsi="標楷體"/>
              </w:rPr>
            </w:pPr>
            <w:r w:rsidRPr="00D746B1">
              <w:rPr>
                <w:rFonts w:ascii="標楷體" w:eastAsia="標楷體" w:hAnsi="標楷體" w:hint="eastAsia"/>
              </w:rPr>
              <w:t>適應症：甲狀腺機</w:t>
            </w:r>
          </w:p>
          <w:p w:rsidR="00E972B7" w:rsidRPr="00D746B1" w:rsidRDefault="00E972B7" w:rsidP="00E972B7">
            <w:pPr>
              <w:ind w:left="1440" w:hangingChars="600" w:hanging="1440"/>
              <w:rPr>
                <w:rFonts w:ascii="標楷體" w:eastAsia="標楷體" w:hAnsi="標楷體"/>
              </w:rPr>
            </w:pPr>
            <w:r w:rsidRPr="00D746B1">
              <w:rPr>
                <w:rFonts w:ascii="標楷體" w:eastAsia="標楷體" w:hAnsi="標楷體" w:hint="eastAsia"/>
              </w:rPr>
              <w:t>能減退症及「其他</w:t>
            </w:r>
          </w:p>
          <w:p w:rsidR="00E972B7" w:rsidRPr="00D746B1" w:rsidRDefault="00E972B7" w:rsidP="00E972B7">
            <w:pPr>
              <w:ind w:left="1440" w:hangingChars="600" w:hanging="1440"/>
              <w:rPr>
                <w:rFonts w:ascii="標楷體" w:eastAsia="標楷體" w:hAnsi="標楷體"/>
              </w:rPr>
            </w:pPr>
            <w:r w:rsidRPr="00D746B1">
              <w:rPr>
                <w:rFonts w:ascii="標楷體" w:eastAsia="標楷體" w:hAnsi="標楷體" w:hint="eastAsia"/>
              </w:rPr>
              <w:t>適應症」等。</w:t>
            </w:r>
          </w:p>
          <w:p w:rsidR="00E972B7" w:rsidRPr="00E24F1D" w:rsidRDefault="00E972B7" w:rsidP="00E972B7">
            <w:pPr>
              <w:rPr>
                <w:rFonts w:ascii="標楷體" w:eastAsia="標楷體" w:hAnsi="標楷體"/>
              </w:rPr>
            </w:pPr>
            <w:r w:rsidRPr="00D746B1">
              <w:rPr>
                <w:rFonts w:ascii="標楷體" w:eastAsia="標楷體" w:hAnsi="標楷體" w:hint="eastAsia"/>
              </w:rPr>
              <w:t>用法用量：早餐前服用，一天</w:t>
            </w:r>
            <w:r w:rsidRPr="00D746B1">
              <w:rPr>
                <w:rFonts w:ascii="Times New Roman" w:eastAsia="標楷體" w:hAnsi="Times New Roman" w:cs="Times New Roman"/>
              </w:rPr>
              <w:t>50~100μg</w:t>
            </w:r>
            <w:r w:rsidRPr="00D746B1">
              <w:rPr>
                <w:rFonts w:ascii="標楷體" w:eastAsia="標楷體" w:hAnsi="標楷體" w:hint="eastAsia"/>
              </w:rPr>
              <w:t>，每隔</w:t>
            </w:r>
            <w:r w:rsidRPr="00D746B1">
              <w:rPr>
                <w:rFonts w:ascii="Times New Roman" w:eastAsia="標楷體" w:hAnsi="Times New Roman" w:cs="Times New Roman"/>
              </w:rPr>
              <w:t>4~6</w:t>
            </w:r>
            <w:r w:rsidRPr="00D746B1">
              <w:rPr>
                <w:rFonts w:ascii="標楷體" w:eastAsia="標楷體" w:hAnsi="標楷體" w:hint="eastAsia"/>
              </w:rPr>
              <w:t>週後再增加</w:t>
            </w:r>
            <w:r w:rsidRPr="00D746B1">
              <w:rPr>
                <w:rFonts w:ascii="Times New Roman" w:eastAsia="標楷體" w:hAnsi="Times New Roman" w:cs="Times New Roman"/>
              </w:rPr>
              <w:t>50μg</w:t>
            </w:r>
            <w:r w:rsidRPr="00D746B1">
              <w:rPr>
                <w:rFonts w:ascii="標楷體" w:eastAsia="標楷體" w:hAnsi="標楷體" w:hint="eastAsia"/>
              </w:rPr>
              <w:t>，直到正常代謝功能維持穩定為止。</w:t>
            </w:r>
          </w:p>
        </w:tc>
        <w:tc>
          <w:tcPr>
            <w:tcW w:w="3930" w:type="dxa"/>
          </w:tcPr>
          <w:p w:rsidR="00E972B7" w:rsidRPr="00E24F1D" w:rsidRDefault="00D746B1" w:rsidP="00E972B7">
            <w:pPr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>
                  <wp:extent cx="2369379" cy="1776294"/>
                  <wp:effectExtent l="0" t="0" r="0" b="0"/>
                  <wp:docPr id="6" name="圖片 6" descr="藥品資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藥品資料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4334" cy="1787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3" w:type="dxa"/>
            <w:gridSpan w:val="3"/>
          </w:tcPr>
          <w:p w:rsidR="00E972B7" w:rsidRPr="00E24F1D" w:rsidRDefault="00E972B7" w:rsidP="00E972B7">
            <w:pPr>
              <w:ind w:firstLineChars="200" w:firstLine="480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5328</wp:posOffset>
                  </wp:positionH>
                  <wp:positionV relativeFrom="paragraph">
                    <wp:posOffset>127663</wp:posOffset>
                  </wp:positionV>
                  <wp:extent cx="2427497" cy="1367624"/>
                  <wp:effectExtent l="0" t="0" r="0" b="4445"/>
                  <wp:wrapNone/>
                  <wp:docPr id="5" name="圖片 5" descr="藥品查詢系統-藥品明細-活甲錠100微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藥品查詢系統-藥品明細-活甲錠100微克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2214" b="12120"/>
                          <a:stretch/>
                        </pic:blipFill>
                        <pic:spPr bwMode="auto">
                          <a:xfrm>
                            <a:off x="0" y="0"/>
                            <a:ext cx="2439283" cy="1374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972B7" w:rsidRPr="00E24F1D" w:rsidTr="00E83E0B">
        <w:tc>
          <w:tcPr>
            <w:tcW w:w="2282" w:type="dxa"/>
          </w:tcPr>
          <w:p w:rsidR="00E972B7" w:rsidRPr="00B3652B" w:rsidRDefault="00E972B7" w:rsidP="00E972B7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8113" w:type="dxa"/>
            <w:gridSpan w:val="4"/>
          </w:tcPr>
          <w:p w:rsidR="00E972B7" w:rsidRPr="00E24F1D" w:rsidRDefault="00E972B7" w:rsidP="00D746B1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廠商更換(劑量</w:t>
            </w:r>
            <w:r w:rsidR="00D746B1" w:rsidRPr="00D746B1">
              <w:rPr>
                <w:rFonts w:ascii="Times New Roman" w:hAnsi="Times New Roman" w:cs="Times New Roman"/>
              </w:rPr>
              <w:t>100μg</w:t>
            </w:r>
            <w:r w:rsidR="00D746B1" w:rsidRPr="00D746B1">
              <w:rPr>
                <w:rFonts w:ascii="標楷體" w:eastAsia="標楷體" w:hAnsi="標楷體" w:hint="eastAsia"/>
              </w:rPr>
              <w:t>更改為</w:t>
            </w:r>
            <w:r w:rsidR="00D746B1" w:rsidRPr="00D746B1">
              <w:rPr>
                <w:rFonts w:ascii="Times New Roman" w:eastAsia="標楷體" w:hAnsi="Times New Roman" w:cs="Times New Roman"/>
              </w:rPr>
              <w:t>50</w:t>
            </w:r>
            <w:r w:rsidR="00D746B1" w:rsidRPr="00D746B1">
              <w:rPr>
                <w:rFonts w:ascii="Times New Roman" w:hAnsi="Times New Roman" w:cs="Times New Roman"/>
              </w:rPr>
              <w:t>μg</w:t>
            </w:r>
            <w:r>
              <w:rPr>
                <w:rFonts w:ascii="標楷體" w:eastAsia="標楷體" w:hAnsi="標楷體" w:hint="eastAsia"/>
              </w:rPr>
              <w:t>)</w:t>
            </w:r>
          </w:p>
        </w:tc>
      </w:tr>
      <w:tr w:rsidR="00D746B1" w:rsidRPr="00E24F1D" w:rsidTr="00D746B1">
        <w:trPr>
          <w:trHeight w:val="794"/>
        </w:trPr>
        <w:tc>
          <w:tcPr>
            <w:tcW w:w="2282" w:type="dxa"/>
          </w:tcPr>
          <w:p w:rsidR="00D746B1" w:rsidRPr="00E24F1D" w:rsidRDefault="00D746B1" w:rsidP="00D746B1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946" w:type="dxa"/>
            <w:gridSpan w:val="2"/>
          </w:tcPr>
          <w:p w:rsidR="00D746B1" w:rsidRPr="00E24F1D" w:rsidRDefault="00D746B1" w:rsidP="00D746B1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67" w:type="dxa"/>
            <w:gridSpan w:val="2"/>
          </w:tcPr>
          <w:p w:rsidR="00D746B1" w:rsidRPr="00E24F1D" w:rsidRDefault="00D746B1" w:rsidP="00D746B1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D746B1" w:rsidRPr="00E24F1D" w:rsidTr="00D746B1">
        <w:tc>
          <w:tcPr>
            <w:tcW w:w="2282" w:type="dxa"/>
          </w:tcPr>
          <w:p w:rsidR="00D746B1" w:rsidRPr="00D746B1" w:rsidRDefault="00D746B1" w:rsidP="00D746B1">
            <w:pPr>
              <w:rPr>
                <w:rFonts w:ascii="Times New Roman" w:eastAsia="標楷體" w:hAnsi="Times New Roman" w:cs="Times New Roman"/>
              </w:rPr>
            </w:pPr>
            <w:r w:rsidRPr="00D746B1">
              <w:rPr>
                <w:rFonts w:ascii="標楷體" w:eastAsia="標楷體" w:hAnsi="標楷體" w:hint="eastAsia"/>
              </w:rPr>
              <w:t>代碼：</w:t>
            </w:r>
            <w:r w:rsidRPr="00D746B1">
              <w:rPr>
                <w:rFonts w:ascii="Times New Roman" w:eastAsia="標楷體" w:hAnsi="Times New Roman" w:cs="Times New Roman"/>
              </w:rPr>
              <w:t>ISHIN</w:t>
            </w:r>
          </w:p>
          <w:p w:rsidR="00D746B1" w:rsidRPr="00D746B1" w:rsidRDefault="00D746B1" w:rsidP="00D746B1">
            <w:pPr>
              <w:rPr>
                <w:rFonts w:ascii="標楷體" w:eastAsia="標楷體" w:hAnsi="標楷體"/>
              </w:rPr>
            </w:pPr>
            <w:r w:rsidRPr="00D746B1">
              <w:rPr>
                <w:rFonts w:ascii="標楷體" w:eastAsia="標楷體" w:hAnsi="標楷體" w:hint="eastAsia"/>
              </w:rPr>
              <w:t>商品名：</w:t>
            </w:r>
            <w:r w:rsidRPr="00D746B1">
              <w:rPr>
                <w:rFonts w:ascii="Times New Roman" w:eastAsia="標楷體" w:hAnsi="Times New Roman" w:cs="Times New Roman"/>
              </w:rPr>
              <w:t>Shingrix</w:t>
            </w:r>
            <w:r w:rsidRPr="00D746B1">
              <w:rPr>
                <w:rFonts w:ascii="標楷體" w:eastAsia="標楷體" w:hAnsi="標楷體"/>
              </w:rPr>
              <w:t xml:space="preserve"> </w:t>
            </w:r>
            <w:r w:rsidRPr="00D746B1">
              <w:rPr>
                <w:rFonts w:ascii="標楷體" w:eastAsia="標楷體" w:hAnsi="標楷體" w:hint="eastAsia"/>
              </w:rPr>
              <w:t>(荷商葛蘭素史克)</w:t>
            </w:r>
          </w:p>
          <w:p w:rsidR="00D746B1" w:rsidRPr="00D746B1" w:rsidRDefault="00D746B1" w:rsidP="00D746B1">
            <w:pPr>
              <w:rPr>
                <w:rFonts w:ascii="Times New Roman" w:eastAsia="標楷體" w:hAnsi="Times New Roman" w:cs="Times New Roman"/>
              </w:rPr>
            </w:pPr>
            <w:r w:rsidRPr="00D746B1">
              <w:rPr>
                <w:rFonts w:ascii="標楷體" w:eastAsia="標楷體" w:hAnsi="標楷體" w:hint="eastAsia"/>
              </w:rPr>
              <w:t>成份：</w:t>
            </w:r>
            <w:r w:rsidRPr="00D746B1">
              <w:rPr>
                <w:rFonts w:ascii="Times New Roman" w:eastAsia="標楷體" w:hAnsi="Times New Roman" w:cs="Times New Roman"/>
              </w:rPr>
              <w:t>HERPES ZOSTER VACCINE</w:t>
            </w:r>
          </w:p>
          <w:p w:rsidR="00D746B1" w:rsidRPr="00D746B1" w:rsidRDefault="00D746B1" w:rsidP="00D746B1">
            <w:pPr>
              <w:rPr>
                <w:rFonts w:ascii="Times New Roman" w:eastAsia="標楷體" w:hAnsi="Times New Roman" w:cs="Times New Roman"/>
              </w:rPr>
            </w:pPr>
            <w:r w:rsidRPr="00D746B1">
              <w:rPr>
                <w:rFonts w:ascii="標楷體" w:eastAsia="標楷體" w:hAnsi="標楷體" w:hint="eastAsia"/>
              </w:rPr>
              <w:t>劑量：</w:t>
            </w:r>
            <w:r w:rsidRPr="00D746B1">
              <w:rPr>
                <w:rFonts w:ascii="Times New Roman" w:eastAsia="標楷體" w:hAnsi="Times New Roman" w:cs="Times New Roman"/>
              </w:rPr>
              <w:t>50mcg/vial</w:t>
            </w:r>
          </w:p>
          <w:p w:rsidR="00D746B1" w:rsidRPr="00D746B1" w:rsidRDefault="00D746B1" w:rsidP="00D746B1">
            <w:pPr>
              <w:ind w:left="1440" w:hangingChars="600" w:hanging="1440"/>
              <w:rPr>
                <w:rFonts w:ascii="標楷體" w:eastAsia="標楷體" w:hAnsi="標楷體"/>
              </w:rPr>
            </w:pPr>
            <w:r w:rsidRPr="00D746B1">
              <w:rPr>
                <w:rFonts w:ascii="標楷體" w:eastAsia="標楷體" w:hAnsi="標楷體" w:hint="eastAsia"/>
              </w:rPr>
              <w:t>適應症：適用於下</w:t>
            </w:r>
          </w:p>
          <w:p w:rsidR="00D746B1" w:rsidRPr="00D746B1" w:rsidRDefault="00D746B1" w:rsidP="00D746B1">
            <w:pPr>
              <w:ind w:left="1440" w:hangingChars="600" w:hanging="1440"/>
              <w:rPr>
                <w:rFonts w:ascii="標楷體" w:eastAsia="標楷體" w:hAnsi="標楷體"/>
              </w:rPr>
            </w:pPr>
            <w:r w:rsidRPr="00D746B1">
              <w:rPr>
                <w:rFonts w:ascii="標楷體" w:eastAsia="標楷體" w:hAnsi="標楷體" w:hint="eastAsia"/>
              </w:rPr>
              <w:t>列對象，以預防帶</w:t>
            </w:r>
          </w:p>
          <w:p w:rsidR="00D746B1" w:rsidRPr="00D746B1" w:rsidRDefault="00D746B1" w:rsidP="00D746B1">
            <w:pPr>
              <w:ind w:left="1440" w:hangingChars="600" w:hanging="1440"/>
              <w:rPr>
                <w:rFonts w:ascii="標楷體" w:eastAsia="標楷體" w:hAnsi="標楷體"/>
              </w:rPr>
            </w:pPr>
            <w:r w:rsidRPr="00D746B1">
              <w:rPr>
                <w:rFonts w:ascii="標楷體" w:eastAsia="標楷體" w:hAnsi="標楷體" w:hint="eastAsia"/>
              </w:rPr>
              <w:t>狀炮疹及其相關併</w:t>
            </w:r>
          </w:p>
          <w:p w:rsidR="00D746B1" w:rsidRPr="00D746B1" w:rsidRDefault="00D746B1" w:rsidP="00D746B1">
            <w:pPr>
              <w:ind w:left="1440" w:hangingChars="600" w:hanging="1440"/>
              <w:rPr>
                <w:rFonts w:ascii="標楷體" w:eastAsia="標楷體" w:hAnsi="標楷體"/>
              </w:rPr>
            </w:pPr>
            <w:r w:rsidRPr="00D746B1">
              <w:rPr>
                <w:rFonts w:ascii="標楷體" w:eastAsia="標楷體" w:hAnsi="標楷體" w:hint="eastAsia"/>
              </w:rPr>
              <w:t>發症，如炮疹後神</w:t>
            </w:r>
          </w:p>
          <w:p w:rsidR="00D746B1" w:rsidRPr="00D746B1" w:rsidRDefault="00D746B1" w:rsidP="00D746B1">
            <w:pPr>
              <w:ind w:left="1440" w:hangingChars="600" w:hanging="1440"/>
              <w:rPr>
                <w:rFonts w:ascii="Times New Roman" w:eastAsia="標楷體" w:hAnsi="Times New Roman" w:cs="Times New Roman"/>
              </w:rPr>
            </w:pPr>
            <w:r w:rsidRPr="00D746B1">
              <w:rPr>
                <w:rFonts w:ascii="標楷體" w:eastAsia="標楷體" w:hAnsi="標楷體" w:hint="eastAsia"/>
              </w:rPr>
              <w:t>經痛</w:t>
            </w:r>
            <w:r w:rsidRPr="00D746B1">
              <w:rPr>
                <w:rFonts w:ascii="Times New Roman" w:eastAsia="標楷體" w:hAnsi="Times New Roman" w:cs="Times New Roman"/>
              </w:rPr>
              <w:t xml:space="preserve">(post-herpeti </w:t>
            </w:r>
          </w:p>
          <w:p w:rsidR="00D746B1" w:rsidRPr="00D746B1" w:rsidRDefault="00D746B1" w:rsidP="00D746B1">
            <w:pPr>
              <w:ind w:left="1440" w:hangingChars="600" w:hanging="1440"/>
              <w:rPr>
                <w:rFonts w:ascii="標楷體" w:eastAsia="標楷體" w:hAnsi="標楷體"/>
              </w:rPr>
            </w:pPr>
            <w:r w:rsidRPr="00D746B1">
              <w:rPr>
                <w:rFonts w:ascii="Times New Roman" w:eastAsia="標楷體" w:hAnsi="Times New Roman" w:cs="Times New Roman"/>
              </w:rPr>
              <w:t>cneuralgia,PHN)</w:t>
            </w:r>
            <w:r w:rsidRPr="00D746B1">
              <w:rPr>
                <w:rFonts w:ascii="標楷體" w:eastAsia="標楷體" w:hAnsi="標楷體" w:hint="eastAsia"/>
              </w:rPr>
              <w:t>：-</w:t>
            </w:r>
          </w:p>
          <w:p w:rsidR="00D746B1" w:rsidRPr="00D746B1" w:rsidRDefault="00D746B1" w:rsidP="00D746B1">
            <w:pPr>
              <w:ind w:left="1440" w:hangingChars="600" w:hanging="1440"/>
              <w:rPr>
                <w:rFonts w:ascii="標楷體" w:eastAsia="標楷體" w:hAnsi="標楷體"/>
              </w:rPr>
            </w:pPr>
            <w:r w:rsidRPr="00D746B1">
              <w:rPr>
                <w:rFonts w:ascii="Times New Roman" w:eastAsia="標楷體" w:hAnsi="Times New Roman" w:cs="Times New Roman"/>
              </w:rPr>
              <w:lastRenderedPageBreak/>
              <w:t>50</w:t>
            </w:r>
            <w:r w:rsidRPr="00D746B1">
              <w:rPr>
                <w:rFonts w:ascii="標楷體" w:eastAsia="標楷體" w:hAnsi="標楷體" w:hint="eastAsia"/>
              </w:rPr>
              <w:t>歲(含)以上的成</w:t>
            </w:r>
          </w:p>
          <w:p w:rsidR="00D746B1" w:rsidRDefault="00D746B1" w:rsidP="00D746B1">
            <w:pPr>
              <w:ind w:left="1440" w:hangingChars="600" w:hanging="1440"/>
              <w:rPr>
                <w:rFonts w:ascii="標楷體" w:eastAsia="標楷體" w:hAnsi="標楷體"/>
              </w:rPr>
            </w:pPr>
            <w:r w:rsidRPr="00D746B1">
              <w:rPr>
                <w:rFonts w:ascii="標楷體" w:eastAsia="標楷體" w:hAnsi="標楷體" w:hint="eastAsia"/>
              </w:rPr>
              <w:t>人-</w:t>
            </w:r>
            <w:r w:rsidRPr="00D746B1">
              <w:rPr>
                <w:rFonts w:ascii="Times New Roman" w:eastAsia="標楷體" w:hAnsi="Times New Roman" w:cs="Times New Roman"/>
              </w:rPr>
              <w:t>18</w:t>
            </w:r>
            <w:r w:rsidRPr="00D746B1">
              <w:rPr>
                <w:rFonts w:ascii="標楷體" w:eastAsia="標楷體" w:hAnsi="標楷體" w:hint="eastAsia"/>
              </w:rPr>
              <w:t>歲(含)以上</w:t>
            </w:r>
          </w:p>
          <w:p w:rsidR="00D746B1" w:rsidRPr="00D746B1" w:rsidRDefault="00D746B1" w:rsidP="00D746B1">
            <w:pPr>
              <w:rPr>
                <w:rFonts w:ascii="標楷體" w:eastAsia="標楷體" w:hAnsi="標楷體"/>
              </w:rPr>
            </w:pPr>
            <w:r w:rsidRPr="00D746B1">
              <w:rPr>
                <w:rFonts w:ascii="標楷體" w:eastAsia="標楷體" w:hAnsi="標楷體" w:hint="eastAsia"/>
              </w:rPr>
              <w:t>且具有罹患帶狀炮疹風險較高的成人。用法用量：初次接種時程共包含兩劑，每劑0.5毫升；第二劑於第一劑施打2至6個月後施打。</w:t>
            </w:r>
          </w:p>
        </w:tc>
        <w:tc>
          <w:tcPr>
            <w:tcW w:w="3946" w:type="dxa"/>
            <w:gridSpan w:val="2"/>
          </w:tcPr>
          <w:p w:rsidR="00D746B1" w:rsidRPr="00E24F1D" w:rsidRDefault="00D746B1" w:rsidP="00D746B1">
            <w:pPr>
              <w:rPr>
                <w:rFonts w:ascii="標楷體" w:eastAsia="標楷體" w:hAnsi="標楷體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-26366</wp:posOffset>
                  </wp:positionH>
                  <wp:positionV relativeFrom="paragraph">
                    <wp:posOffset>103146</wp:posOffset>
                  </wp:positionV>
                  <wp:extent cx="2409245" cy="1012457"/>
                  <wp:effectExtent l="0" t="0" r="0" b="0"/>
                  <wp:wrapNone/>
                  <wp:docPr id="9" name="圖片 9" descr="带状疱疹疫苗：19岁以上的特定人群就该接种- Wellsure Medical Practi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带状疱疹疫苗：19岁以上的特定人群就该接种- Wellsure Medical Practi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245" cy="1012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>
                      <wp:extent cx="302260" cy="302260"/>
                      <wp:effectExtent l="0" t="0" r="0" b="0"/>
                      <wp:docPr id="7" name="矩形 7" descr="Shingrix 欣剋疹| GSK 台灣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18287F1" id="矩形 7" o:spid="_x0000_s1026" alt="Shingrix 欣剋疹| GSK 台灣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t xml:space="preserve"> </w:t>
            </w:r>
          </w:p>
        </w:tc>
        <w:tc>
          <w:tcPr>
            <w:tcW w:w="4167" w:type="dxa"/>
            <w:gridSpan w:val="2"/>
          </w:tcPr>
          <w:p w:rsidR="00D746B1" w:rsidRPr="00E24F1D" w:rsidRDefault="00D746B1" w:rsidP="00D746B1">
            <w:pPr>
              <w:jc w:val="center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99639</wp:posOffset>
                  </wp:positionH>
                  <wp:positionV relativeFrom="paragraph">
                    <wp:posOffset>110987</wp:posOffset>
                  </wp:positionV>
                  <wp:extent cx="2242268" cy="1574165"/>
                  <wp:effectExtent l="0" t="0" r="5715" b="6985"/>
                  <wp:wrapNone/>
                  <wp:docPr id="10" name="圖片 10" descr="訊息內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訊息內容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351" t="23425" r="1253" b="10305"/>
                          <a:stretch/>
                        </pic:blipFill>
                        <pic:spPr bwMode="auto">
                          <a:xfrm>
                            <a:off x="0" y="0"/>
                            <a:ext cx="2242268" cy="1574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746B1" w:rsidRPr="00E24F1D" w:rsidTr="00E83E0B">
        <w:tc>
          <w:tcPr>
            <w:tcW w:w="2282" w:type="dxa"/>
          </w:tcPr>
          <w:p w:rsidR="00D746B1" w:rsidRPr="0000549B" w:rsidRDefault="00D746B1" w:rsidP="00D746B1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8113" w:type="dxa"/>
            <w:gridSpan w:val="4"/>
          </w:tcPr>
          <w:p w:rsidR="00D746B1" w:rsidRPr="00E24F1D" w:rsidRDefault="003955D1" w:rsidP="00D746B1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新藥</w:t>
            </w:r>
          </w:p>
        </w:tc>
      </w:tr>
      <w:tr w:rsidR="0071349A" w:rsidRPr="00E24F1D" w:rsidTr="0071349A">
        <w:tc>
          <w:tcPr>
            <w:tcW w:w="2282" w:type="dxa"/>
          </w:tcPr>
          <w:p w:rsidR="0071349A" w:rsidRPr="00E24F1D" w:rsidRDefault="0071349A" w:rsidP="0071349A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4082" w:type="dxa"/>
            <w:gridSpan w:val="3"/>
          </w:tcPr>
          <w:p w:rsidR="0071349A" w:rsidRPr="00E24F1D" w:rsidRDefault="0071349A" w:rsidP="0071349A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031" w:type="dxa"/>
          </w:tcPr>
          <w:p w:rsidR="0071349A" w:rsidRPr="00E24F1D" w:rsidRDefault="0071349A" w:rsidP="0071349A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71349A" w:rsidRPr="00E24F1D" w:rsidTr="0071349A">
        <w:tc>
          <w:tcPr>
            <w:tcW w:w="2282" w:type="dxa"/>
          </w:tcPr>
          <w:p w:rsidR="00915770" w:rsidRPr="00A05C33" w:rsidRDefault="00915770" w:rsidP="00915770">
            <w:pPr>
              <w:rPr>
                <w:rFonts w:ascii="Times New Roman" w:eastAsia="標楷體" w:hAnsi="Times New Roman" w:cs="Times New Roman"/>
              </w:rPr>
            </w:pPr>
            <w:r w:rsidRPr="00A05C33">
              <w:rPr>
                <w:rFonts w:ascii="標楷體" w:eastAsia="標楷體" w:hAnsi="標楷體" w:hint="eastAsia"/>
              </w:rPr>
              <w:t>代碼：</w:t>
            </w:r>
            <w:r w:rsidRPr="00A05C33">
              <w:rPr>
                <w:rFonts w:ascii="Times New Roman" w:eastAsia="標楷體" w:hAnsi="Times New Roman" w:cs="Times New Roman"/>
              </w:rPr>
              <w:t>ONORV</w:t>
            </w:r>
          </w:p>
          <w:p w:rsidR="00915770" w:rsidRPr="00A05C33" w:rsidRDefault="00915770" w:rsidP="00915770">
            <w:pPr>
              <w:rPr>
                <w:rFonts w:ascii="標楷體" w:eastAsia="標楷體" w:hAnsi="標楷體"/>
              </w:rPr>
            </w:pPr>
            <w:r w:rsidRPr="00A05C33">
              <w:rPr>
                <w:rFonts w:ascii="標楷體" w:eastAsia="標楷體" w:hAnsi="標楷體" w:hint="eastAsia"/>
              </w:rPr>
              <w:t>商品名：</w:t>
            </w:r>
            <w:r w:rsidRPr="00A05C33">
              <w:rPr>
                <w:rFonts w:ascii="Times New Roman" w:eastAsia="標楷體" w:hAnsi="Times New Roman" w:cs="Times New Roman"/>
              </w:rPr>
              <w:t>Norvasc (PFIZER AUSTRALIA PTY LIMITED)</w:t>
            </w:r>
          </w:p>
          <w:p w:rsidR="00915770" w:rsidRPr="00A05C33" w:rsidRDefault="00915770" w:rsidP="00915770">
            <w:pPr>
              <w:rPr>
                <w:rFonts w:ascii="標楷體" w:eastAsia="標楷體" w:hAnsi="標楷體"/>
              </w:rPr>
            </w:pPr>
            <w:r w:rsidRPr="00A05C33">
              <w:rPr>
                <w:rFonts w:ascii="標楷體" w:eastAsia="標楷體" w:hAnsi="標楷體" w:hint="eastAsia"/>
              </w:rPr>
              <w:t>成份：</w:t>
            </w:r>
            <w:r w:rsidRPr="00A05C33">
              <w:rPr>
                <w:rFonts w:ascii="Times New Roman" w:eastAsia="標楷體" w:hAnsi="Times New Roman" w:cs="Times New Roman"/>
              </w:rPr>
              <w:t>Amlodipine</w:t>
            </w:r>
          </w:p>
          <w:p w:rsidR="00915770" w:rsidRPr="00A05C33" w:rsidRDefault="00915770" w:rsidP="00915770">
            <w:pPr>
              <w:rPr>
                <w:rFonts w:ascii="Times New Roman" w:eastAsia="標楷體" w:hAnsi="Times New Roman" w:cs="Times New Roman"/>
              </w:rPr>
            </w:pPr>
            <w:r w:rsidRPr="00A05C33">
              <w:rPr>
                <w:rFonts w:ascii="標楷體" w:eastAsia="標楷體" w:hAnsi="標楷體" w:hint="eastAsia"/>
              </w:rPr>
              <w:t>劑量：</w:t>
            </w:r>
            <w:r w:rsidRPr="00A05C33">
              <w:rPr>
                <w:rFonts w:ascii="Times New Roman" w:eastAsia="標楷體" w:hAnsi="Times New Roman" w:cs="Times New Roman"/>
              </w:rPr>
              <w:t>5mg/tab</w:t>
            </w:r>
          </w:p>
          <w:p w:rsidR="00915770" w:rsidRPr="00A05C33" w:rsidRDefault="00915770" w:rsidP="00915770">
            <w:pPr>
              <w:ind w:left="1440" w:hangingChars="600" w:hanging="1440"/>
              <w:rPr>
                <w:rFonts w:ascii="標楷體" w:eastAsia="標楷體" w:hAnsi="標楷體"/>
              </w:rPr>
            </w:pPr>
            <w:r w:rsidRPr="00A05C33">
              <w:rPr>
                <w:rFonts w:ascii="標楷體" w:eastAsia="標楷體" w:hAnsi="標楷體" w:hint="eastAsia"/>
              </w:rPr>
              <w:t>適應症：高血壓、</w:t>
            </w:r>
          </w:p>
          <w:p w:rsidR="00915770" w:rsidRPr="00A05C33" w:rsidRDefault="00915770" w:rsidP="00915770">
            <w:pPr>
              <w:ind w:left="1440" w:hangingChars="600" w:hanging="1440"/>
              <w:rPr>
                <w:rFonts w:ascii="標楷體" w:eastAsia="標楷體" w:hAnsi="標楷體"/>
              </w:rPr>
            </w:pPr>
            <w:r w:rsidRPr="00A05C33">
              <w:rPr>
                <w:rFonts w:ascii="標楷體" w:eastAsia="標楷體" w:hAnsi="標楷體" w:hint="eastAsia"/>
              </w:rPr>
              <w:t>心絞痛及「其他適</w:t>
            </w:r>
          </w:p>
          <w:p w:rsidR="00915770" w:rsidRPr="00A05C33" w:rsidRDefault="00915770" w:rsidP="00915770">
            <w:pPr>
              <w:ind w:left="1440" w:hangingChars="600" w:hanging="1440"/>
              <w:rPr>
                <w:rFonts w:ascii="標楷體" w:eastAsia="標楷體" w:hAnsi="標楷體"/>
              </w:rPr>
            </w:pPr>
            <w:r w:rsidRPr="00A05C33">
              <w:rPr>
                <w:rFonts w:ascii="標楷體" w:eastAsia="標楷體" w:hAnsi="標楷體" w:hint="eastAsia"/>
              </w:rPr>
              <w:t>應症」等。</w:t>
            </w:r>
          </w:p>
          <w:p w:rsidR="0071349A" w:rsidRPr="0000549B" w:rsidRDefault="00915770" w:rsidP="00915770">
            <w:pPr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05C33">
              <w:rPr>
                <w:rFonts w:ascii="標楷體" w:eastAsia="標楷體" w:hAnsi="標楷體" w:hint="eastAsia"/>
              </w:rPr>
              <w:t>用法用量：起始劑量一天一次，一次</w:t>
            </w:r>
            <w:r w:rsidRPr="00A05C33">
              <w:rPr>
                <w:rFonts w:ascii="Times New Roman" w:eastAsia="標楷體" w:hAnsi="Times New Roman" w:cs="Times New Roman"/>
              </w:rPr>
              <w:t>2.5~5mg</w:t>
            </w:r>
            <w:r w:rsidRPr="00A05C33">
              <w:rPr>
                <w:rFonts w:ascii="標楷體" w:eastAsia="標楷體" w:hAnsi="標楷體" w:hint="eastAsia"/>
              </w:rPr>
              <w:t>，依病人症狀最高劑量</w:t>
            </w:r>
            <w:r w:rsidRPr="00A05C33">
              <w:rPr>
                <w:rFonts w:ascii="Times New Roman" w:eastAsia="標楷體" w:hAnsi="Times New Roman" w:cs="Times New Roman"/>
              </w:rPr>
              <w:t>10mg</w:t>
            </w:r>
            <w:r w:rsidRPr="00A05C33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4082" w:type="dxa"/>
            <w:gridSpan w:val="3"/>
          </w:tcPr>
          <w:p w:rsidR="0071349A" w:rsidRDefault="00915770" w:rsidP="0071349A">
            <w:pPr>
              <w:jc w:val="center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1F0B1977" wp14:editId="07DC9C83">
                  <wp:simplePos x="0" y="0"/>
                  <wp:positionH relativeFrom="margin">
                    <wp:posOffset>-2540</wp:posOffset>
                  </wp:positionH>
                  <wp:positionV relativeFrom="paragraph">
                    <wp:posOffset>1828800</wp:posOffset>
                  </wp:positionV>
                  <wp:extent cx="2517140" cy="1876425"/>
                  <wp:effectExtent l="0" t="0" r="0" b="9525"/>
                  <wp:wrapTopAndBottom/>
                  <wp:docPr id="14" name="圖片 14" descr="藥品資訊查詢系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藥品資訊查詢系統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486" t="5642" r="3939" b="56233"/>
                          <a:stretch/>
                        </pic:blipFill>
                        <pic:spPr bwMode="auto">
                          <a:xfrm>
                            <a:off x="0" y="0"/>
                            <a:ext cx="2517140" cy="1876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1349A">
              <w:rPr>
                <w:noProof/>
              </w:rPr>
              <w:drawing>
                <wp:inline distT="0" distB="0" distL="0" distR="0">
                  <wp:extent cx="2461736" cy="1756642"/>
                  <wp:effectExtent l="0" t="0" r="0" b="0"/>
                  <wp:docPr id="12" name="圖片 12" descr="https://www.viatris.tw/-/media/project/common/viatristw/images/products/product-catalouge/norvasc-5mg-product-photo.jpg?h=356&amp;iar=0&amp;w=498&amp;hash=D4AA866C1017714976614E2659E5A5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viatris.tw/-/media/project/common/viatristw/images/products/product-catalouge/norvasc-5mg-product-photo.jpg?h=356&amp;iar=0&amp;w=498&amp;hash=D4AA866C1017714976614E2659E5A5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281" cy="17720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1349A" w:rsidRDefault="0071349A" w:rsidP="0071349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031" w:type="dxa"/>
          </w:tcPr>
          <w:p w:rsidR="002527AA" w:rsidRDefault="00E75A74" w:rsidP="00C20013">
            <w:pPr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87999</wp:posOffset>
                  </wp:positionV>
                  <wp:extent cx="2432076" cy="1820849"/>
                  <wp:effectExtent l="0" t="0" r="6350" b="8255"/>
                  <wp:wrapNone/>
                  <wp:docPr id="16" name="圖片 16" descr="脈優Norvasc @ 袋熊藥師:: 痞客邦::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脈優Norvasc @ 袋熊藥師:: 痞客邦::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2076" cy="18208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1349A" w:rsidRDefault="00E75A74" w:rsidP="00C20013">
            <w:pPr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281306</wp:posOffset>
                  </wp:positionH>
                  <wp:positionV relativeFrom="paragraph">
                    <wp:posOffset>1975869</wp:posOffset>
                  </wp:positionV>
                  <wp:extent cx="1859076" cy="1409667"/>
                  <wp:effectExtent l="0" t="3810" r="4445" b="4445"/>
                  <wp:wrapNone/>
                  <wp:docPr id="17" name="圖片 17" descr="彰基藥品辨識系統- 列印畫面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彰基藥品辨識系統- 列印畫面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736" r="4347" b="11923"/>
                          <a:stretch/>
                        </pic:blipFill>
                        <pic:spPr bwMode="auto">
                          <a:xfrm rot="16200000">
                            <a:off x="0" y="0"/>
                            <a:ext cx="1859076" cy="1409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527AA">
              <w:rPr>
                <w:rFonts w:ascii="標楷體" w:eastAsia="標楷體" w:hAnsi="標楷體" w:hint="eastAsia"/>
              </w:rPr>
              <w:t>O掰雸ˊˊ只O摘</w:t>
            </w:r>
          </w:p>
        </w:tc>
      </w:tr>
      <w:tr w:rsidR="0071349A" w:rsidRPr="00E24F1D" w:rsidTr="00E83E0B">
        <w:tc>
          <w:tcPr>
            <w:tcW w:w="2282" w:type="dxa"/>
          </w:tcPr>
          <w:p w:rsidR="0071349A" w:rsidRPr="0000549B" w:rsidRDefault="00915770" w:rsidP="0071349A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8113" w:type="dxa"/>
            <w:gridSpan w:val="4"/>
          </w:tcPr>
          <w:p w:rsidR="0071349A" w:rsidRDefault="00915770" w:rsidP="0071349A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包裝變更</w:t>
            </w:r>
          </w:p>
        </w:tc>
      </w:tr>
    </w:tbl>
    <w:p w:rsidR="00AB53CF" w:rsidRDefault="00915770" w:rsidP="00915770">
      <w:pPr>
        <w:tabs>
          <w:tab w:val="left" w:pos="5697"/>
        </w:tabs>
      </w:pPr>
      <w:r>
        <w:tab/>
      </w:r>
    </w:p>
    <w:sectPr w:rsidR="00AB53CF" w:rsidSect="006C69B5">
      <w:pgSz w:w="11906" w:h="16838"/>
      <w:pgMar w:top="1440" w:right="1800" w:bottom="993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45C7" w:rsidRDefault="000845C7" w:rsidP="001C5400">
      <w:r>
        <w:separator/>
      </w:r>
    </w:p>
  </w:endnote>
  <w:endnote w:type="continuationSeparator" w:id="0">
    <w:p w:rsidR="000845C7" w:rsidRDefault="000845C7" w:rsidP="001C5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45C7" w:rsidRDefault="000845C7" w:rsidP="001C5400">
      <w:r>
        <w:separator/>
      </w:r>
    </w:p>
  </w:footnote>
  <w:footnote w:type="continuationSeparator" w:id="0">
    <w:p w:rsidR="000845C7" w:rsidRDefault="000845C7" w:rsidP="001C54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454"/>
    <w:rsid w:val="000845C7"/>
    <w:rsid w:val="000A49D5"/>
    <w:rsid w:val="000C4F9F"/>
    <w:rsid w:val="001508C8"/>
    <w:rsid w:val="00154219"/>
    <w:rsid w:val="001C5400"/>
    <w:rsid w:val="002527AA"/>
    <w:rsid w:val="00262832"/>
    <w:rsid w:val="002702A7"/>
    <w:rsid w:val="00300FA3"/>
    <w:rsid w:val="0030377F"/>
    <w:rsid w:val="00381CE6"/>
    <w:rsid w:val="003877C0"/>
    <w:rsid w:val="003955D1"/>
    <w:rsid w:val="003C056D"/>
    <w:rsid w:val="00423077"/>
    <w:rsid w:val="004519E2"/>
    <w:rsid w:val="004B6F40"/>
    <w:rsid w:val="005A36FB"/>
    <w:rsid w:val="005D2131"/>
    <w:rsid w:val="006C69B5"/>
    <w:rsid w:val="00700334"/>
    <w:rsid w:val="0071349A"/>
    <w:rsid w:val="00787B29"/>
    <w:rsid w:val="00796544"/>
    <w:rsid w:val="007A78BF"/>
    <w:rsid w:val="007D746D"/>
    <w:rsid w:val="007E7390"/>
    <w:rsid w:val="00830C26"/>
    <w:rsid w:val="00830EC4"/>
    <w:rsid w:val="008405E4"/>
    <w:rsid w:val="0085293F"/>
    <w:rsid w:val="00872102"/>
    <w:rsid w:val="008B5357"/>
    <w:rsid w:val="00915770"/>
    <w:rsid w:val="00932A84"/>
    <w:rsid w:val="009C6292"/>
    <w:rsid w:val="009E0D07"/>
    <w:rsid w:val="009F352D"/>
    <w:rsid w:val="00A05C33"/>
    <w:rsid w:val="00A33E3D"/>
    <w:rsid w:val="00A76FE2"/>
    <w:rsid w:val="00A84A1D"/>
    <w:rsid w:val="00A86B3D"/>
    <w:rsid w:val="00AA16D2"/>
    <w:rsid w:val="00AB47BC"/>
    <w:rsid w:val="00AB53CF"/>
    <w:rsid w:val="00AD220C"/>
    <w:rsid w:val="00AF5CF0"/>
    <w:rsid w:val="00B109C2"/>
    <w:rsid w:val="00B53D72"/>
    <w:rsid w:val="00BC1454"/>
    <w:rsid w:val="00BC5F30"/>
    <w:rsid w:val="00C20013"/>
    <w:rsid w:val="00C312FA"/>
    <w:rsid w:val="00C42243"/>
    <w:rsid w:val="00D746B1"/>
    <w:rsid w:val="00E45227"/>
    <w:rsid w:val="00E75A74"/>
    <w:rsid w:val="00E83E0B"/>
    <w:rsid w:val="00E972B7"/>
    <w:rsid w:val="00EE44E0"/>
    <w:rsid w:val="00F01939"/>
    <w:rsid w:val="00F14873"/>
    <w:rsid w:val="00F17A0E"/>
    <w:rsid w:val="00F4798C"/>
    <w:rsid w:val="00F566F4"/>
    <w:rsid w:val="00F608EB"/>
    <w:rsid w:val="00F776FE"/>
    <w:rsid w:val="00F94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A94D5B-AD24-497D-B02F-6297F7951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145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14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C540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C540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3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doctor</dc:creator>
  <cp:keywords/>
  <dc:description/>
  <cp:lastModifiedBy>doctor</cp:lastModifiedBy>
  <cp:revision>10</cp:revision>
  <cp:lastPrinted>2022-08-31T07:52:00Z</cp:lastPrinted>
  <dcterms:created xsi:type="dcterms:W3CDTF">2022-10-28T01:29:00Z</dcterms:created>
  <dcterms:modified xsi:type="dcterms:W3CDTF">2022-11-10T01:13:00Z</dcterms:modified>
</cp:coreProperties>
</file>