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282"/>
        <w:gridCol w:w="3948"/>
        <w:gridCol w:w="16"/>
        <w:gridCol w:w="4149"/>
      </w:tblGrid>
      <w:tr w:rsidR="00700334" w:rsidRPr="00E24F1D" w:rsidTr="00F14873">
        <w:tc>
          <w:tcPr>
            <w:tcW w:w="228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9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3" w:type="dxa"/>
            <w:gridSpan w:val="2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A86B3D" w:rsidRPr="00E24F1D" w:rsidTr="00F14873">
        <w:tc>
          <w:tcPr>
            <w:tcW w:w="2283" w:type="dxa"/>
          </w:tcPr>
          <w:p w:rsidR="009C6292" w:rsidRDefault="009C6292" w:rsidP="00BC145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代碼:</w:t>
            </w:r>
            <w:r w:rsidRPr="006C69B5">
              <w:rPr>
                <w:rFonts w:ascii="Times New Roman" w:eastAsia="標楷體" w:hAnsi="Times New Roman" w:cs="Times New Roman"/>
              </w:rPr>
              <w:t>IBOOS</w:t>
            </w:r>
          </w:p>
          <w:p w:rsidR="009C6292" w:rsidRPr="00E24F1D" w:rsidRDefault="009C6292" w:rsidP="00BC1454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t>商品名：</w:t>
            </w:r>
            <w:r w:rsidRPr="00E24F1D">
              <w:rPr>
                <w:rFonts w:ascii="標楷體" w:eastAsia="標楷體" w:hAnsi="標楷體"/>
              </w:rPr>
              <w:t xml:space="preserve"> </w:t>
            </w:r>
          </w:p>
          <w:p w:rsidR="009C6292" w:rsidRPr="006C69B5" w:rsidRDefault="009C6292" w:rsidP="00CF4068">
            <w:pPr>
              <w:rPr>
                <w:rFonts w:ascii="Times New Roman" w:eastAsia="標楷體" w:hAnsi="Times New Roman" w:cs="Times New Roman"/>
              </w:rPr>
            </w:pPr>
            <w:r w:rsidRPr="006C69B5">
              <w:rPr>
                <w:rFonts w:ascii="Times New Roman" w:eastAsia="標楷體" w:hAnsi="Times New Roman" w:cs="Times New Roman"/>
              </w:rPr>
              <w:t>BOOSTRIX</w:t>
            </w:r>
          </w:p>
          <w:p w:rsidR="009C6292" w:rsidRDefault="009C6292" w:rsidP="00CF406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成份:</w:t>
            </w:r>
          </w:p>
          <w:p w:rsidR="009C6292" w:rsidRPr="00381CE6" w:rsidRDefault="009C6292" w:rsidP="00BC1454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/>
              </w:rPr>
              <w:t>白喉類毒素</w:t>
            </w:r>
          </w:p>
          <w:p w:rsidR="009C6292" w:rsidRPr="00381CE6" w:rsidRDefault="009C6292" w:rsidP="00BC1454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/>
              </w:rPr>
              <w:t xml:space="preserve">破傷風類毒素百日咳球桿菌抗原 </w:t>
            </w:r>
          </w:p>
          <w:p w:rsidR="009C6292" w:rsidRPr="00381CE6" w:rsidRDefault="009C6292" w:rsidP="00BC1454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/>
              </w:rPr>
              <w:t>百日咳類毒素絲狀血凝素</w:t>
            </w:r>
          </w:p>
          <w:p w:rsidR="009C6292" w:rsidRPr="006C69B5" w:rsidRDefault="009C6292" w:rsidP="00BC1454">
            <w:pPr>
              <w:rPr>
                <w:rFonts w:ascii="Times New Roman" w:eastAsia="標楷體" w:hAnsi="Times New Roman" w:cs="Times New Roman"/>
              </w:rPr>
            </w:pPr>
            <w:r w:rsidRPr="006C69B5">
              <w:rPr>
                <w:rFonts w:ascii="Times New Roman" w:eastAsia="標楷體" w:hAnsi="Times New Roman" w:cs="Times New Roman"/>
              </w:rPr>
              <w:t>Pertactin</w:t>
            </w:r>
          </w:p>
          <w:p w:rsidR="009C6292" w:rsidRDefault="009C6292" w:rsidP="00BC1454">
            <w:r w:rsidRPr="00381CE6">
              <w:rPr>
                <w:rFonts w:ascii="標楷體" w:eastAsia="標楷體" w:hAnsi="標楷體"/>
              </w:rPr>
              <w:t>氫氧化鋁水合物</w:t>
            </w:r>
            <w:r>
              <w:t xml:space="preserve"> </w:t>
            </w:r>
            <w:r w:rsidRPr="006C69B5">
              <w:rPr>
                <w:rFonts w:ascii="Times New Roman" w:eastAsia="標楷體" w:hAnsi="Times New Roman" w:cs="Times New Roman"/>
              </w:rPr>
              <w:t>(Al (OH)3 ) Al3+</w:t>
            </w:r>
            <w:r>
              <w:t xml:space="preserve"> </w:t>
            </w:r>
          </w:p>
          <w:p w:rsidR="009C6292" w:rsidRDefault="009C6292" w:rsidP="00BC1454">
            <w:r>
              <w:t>磷酸鋁</w:t>
            </w:r>
            <w:r>
              <w:t xml:space="preserve"> </w:t>
            </w:r>
            <w:r w:rsidRPr="006C69B5">
              <w:rPr>
                <w:rFonts w:ascii="Times New Roman" w:eastAsia="標楷體" w:hAnsi="Times New Roman" w:cs="Times New Roman"/>
              </w:rPr>
              <w:t xml:space="preserve">(AlPO4 </w:t>
            </w:r>
            <w:r w:rsidRPr="009C6292">
              <w:rPr>
                <w:rFonts w:ascii="Times New Roman" w:eastAsia="標楷體" w:hAnsi="Times New Roman" w:cs="Times New Roman"/>
              </w:rPr>
              <w:t>)</w:t>
            </w:r>
            <w:r>
              <w:t xml:space="preserve"> </w:t>
            </w:r>
            <w:r w:rsidRPr="006C69B5">
              <w:rPr>
                <w:rFonts w:ascii="Times New Roman" w:eastAsia="標楷體" w:hAnsi="Times New Roman" w:cs="Times New Roman"/>
              </w:rPr>
              <w:t>Al3+</w:t>
            </w:r>
          </w:p>
          <w:p w:rsidR="009C6292" w:rsidRPr="00381CE6" w:rsidRDefault="009C6292" w:rsidP="00BC1454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 w:hint="eastAsia"/>
              </w:rPr>
              <w:t>適應症:</w:t>
            </w:r>
          </w:p>
          <w:p w:rsidR="009C6292" w:rsidRPr="00E24F1D" w:rsidRDefault="009C6292" w:rsidP="00BC1454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/>
              </w:rPr>
              <w:t>適用於四歲（含）以上者之追加疫苗接種，以預防白喉、破傷風及百日咳</w:t>
            </w:r>
            <w:r w:rsidRPr="00381CE6">
              <w:rPr>
                <w:rFonts w:ascii="標楷體" w:eastAsia="標楷體" w:hAnsi="標楷體" w:hint="eastAsia"/>
              </w:rPr>
              <w:t>，以及</w:t>
            </w:r>
            <w:r w:rsidRPr="00381CE6">
              <w:rPr>
                <w:rFonts w:ascii="標楷體" w:eastAsia="標楷體" w:hAnsi="標楷體"/>
              </w:rPr>
              <w:t>懷孕期間接種，以提供嬰兒早期被動性預防百日咳。</w:t>
            </w:r>
          </w:p>
        </w:tc>
        <w:tc>
          <w:tcPr>
            <w:tcW w:w="8112" w:type="dxa"/>
            <w:gridSpan w:val="3"/>
          </w:tcPr>
          <w:p w:rsidR="009C6292" w:rsidRPr="00E24F1D" w:rsidRDefault="007A78BF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796925</wp:posOffset>
                  </wp:positionV>
                  <wp:extent cx="4800600" cy="3602355"/>
                  <wp:effectExtent l="0" t="0" r="0" b="0"/>
                  <wp:wrapSquare wrapText="bothSides"/>
                  <wp:docPr id="1" name="圖片 1" descr="藥品資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藥品資料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0" cy="3602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86B3D" w:rsidRPr="00E24F1D" w:rsidTr="00F14873">
        <w:tc>
          <w:tcPr>
            <w:tcW w:w="2283" w:type="dxa"/>
          </w:tcPr>
          <w:p w:rsidR="00BC1454" w:rsidRPr="00B3652B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B3652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BC1454" w:rsidRPr="00E24F1D" w:rsidRDefault="00BC1454" w:rsidP="00C312F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700334" w:rsidRPr="00A86B3D" w:rsidTr="00F14873">
        <w:tc>
          <w:tcPr>
            <w:tcW w:w="2283" w:type="dxa"/>
          </w:tcPr>
          <w:p w:rsidR="00BC1454" w:rsidRPr="00A86B3D" w:rsidRDefault="00BC1454" w:rsidP="00CF4068">
            <w:pPr>
              <w:rPr>
                <w:rFonts w:ascii="Times New Roman" w:eastAsia="標楷體" w:hAnsi="Times New Roman" w:cs="Times New Roman"/>
              </w:rPr>
            </w:pPr>
            <w:r w:rsidRPr="00A86B3D">
              <w:rPr>
                <w:rFonts w:ascii="Times New Roman" w:eastAsia="標楷體" w:hAnsi="Times New Roman" w:cs="Times New Roman" w:hint="eastAsia"/>
              </w:rPr>
              <w:t>代碼：</w:t>
            </w:r>
            <w:r w:rsidRPr="00051C56">
              <w:rPr>
                <w:rFonts w:ascii="Times New Roman" w:eastAsia="標楷體" w:hAnsi="Times New Roman" w:cs="Times New Roman"/>
              </w:rPr>
              <w:t>OC</w:t>
            </w:r>
            <w:r w:rsidR="009C6292">
              <w:rPr>
                <w:rFonts w:ascii="Times New Roman" w:eastAsia="標楷體" w:hAnsi="Times New Roman" w:cs="Times New Roman" w:hint="eastAsia"/>
              </w:rPr>
              <w:t>ET13</w:t>
            </w:r>
          </w:p>
          <w:p w:rsidR="00BC1454" w:rsidRPr="00051C56" w:rsidRDefault="00BC1454" w:rsidP="00CF4068">
            <w:pPr>
              <w:rPr>
                <w:rFonts w:ascii="Times New Roman" w:eastAsia="標楷體" w:hAnsi="Times New Roman" w:cs="Times New Roman"/>
              </w:rPr>
            </w:pPr>
            <w:r w:rsidRPr="00A86B3D">
              <w:rPr>
                <w:rFonts w:ascii="Times New Roman" w:eastAsia="標楷體" w:hAnsi="Times New Roman" w:cs="Times New Roman" w:hint="eastAsia"/>
              </w:rPr>
              <w:t>商品名：</w:t>
            </w:r>
            <w:r w:rsidR="009C6292" w:rsidRPr="009C6292">
              <w:rPr>
                <w:rFonts w:ascii="Times New Roman" w:eastAsia="標楷體" w:hAnsi="Times New Roman" w:cs="Times New Roman"/>
              </w:rPr>
              <w:t>Cetirizine Oral Solution“Sinphar”</w:t>
            </w:r>
          </w:p>
          <w:p w:rsidR="00BC1454" w:rsidRPr="00A86B3D" w:rsidRDefault="00BC1454" w:rsidP="00CF4068">
            <w:pPr>
              <w:rPr>
                <w:rFonts w:ascii="Times New Roman" w:eastAsia="標楷體" w:hAnsi="Times New Roman" w:cs="Times New Roman"/>
              </w:rPr>
            </w:pPr>
            <w:r w:rsidRPr="00A86B3D">
              <w:rPr>
                <w:rFonts w:ascii="Times New Roman" w:eastAsia="標楷體" w:hAnsi="Times New Roman" w:cs="Times New Roman" w:hint="eastAsia"/>
              </w:rPr>
              <w:t>成份：</w:t>
            </w:r>
            <w:r w:rsidR="009C6292" w:rsidRPr="009C6292">
              <w:rPr>
                <w:rFonts w:ascii="Times New Roman" w:eastAsia="標楷體" w:hAnsi="Times New Roman" w:cs="Times New Roman"/>
              </w:rPr>
              <w:t>Cetirizine Dihydrochloride</w:t>
            </w:r>
          </w:p>
          <w:p w:rsidR="00BC1454" w:rsidRPr="00A86B3D" w:rsidRDefault="00BC1454" w:rsidP="00CF4068">
            <w:pPr>
              <w:rPr>
                <w:rFonts w:ascii="Times New Roman" w:eastAsia="標楷體" w:hAnsi="Times New Roman" w:cs="Times New Roman"/>
              </w:rPr>
            </w:pPr>
            <w:r w:rsidRPr="00A86B3D">
              <w:rPr>
                <w:rFonts w:ascii="Times New Roman" w:eastAsia="標楷體" w:hAnsi="Times New Roman" w:cs="Times New Roman" w:hint="eastAsia"/>
              </w:rPr>
              <w:t>劑量：</w:t>
            </w:r>
            <w:r w:rsidR="009C6292">
              <w:rPr>
                <w:rFonts w:ascii="Times New Roman" w:eastAsia="標楷體" w:hAnsi="Times New Roman" w:cs="Times New Roman" w:hint="eastAsia"/>
              </w:rPr>
              <w:t>30</w:t>
            </w:r>
            <w:r w:rsidR="009C6292">
              <w:rPr>
                <w:rFonts w:ascii="Times New Roman" w:eastAsia="標楷體" w:hAnsi="Times New Roman" w:cs="Times New Roman"/>
              </w:rPr>
              <w:t>mg/30ml</w:t>
            </w:r>
          </w:p>
          <w:p w:rsidR="00BC1454" w:rsidRPr="00A86B3D" w:rsidRDefault="00BC1454" w:rsidP="00CF4068">
            <w:pPr>
              <w:rPr>
                <w:rFonts w:ascii="Times New Roman" w:eastAsia="標楷體" w:hAnsi="Times New Roman" w:cs="Times New Roman"/>
              </w:rPr>
            </w:pPr>
            <w:r w:rsidRPr="00A86B3D">
              <w:rPr>
                <w:rFonts w:ascii="Times New Roman" w:eastAsia="標楷體" w:hAnsi="Times New Roman" w:cs="Times New Roman" w:hint="eastAsia"/>
              </w:rPr>
              <w:t>適應症：</w:t>
            </w:r>
            <w:r w:rsidR="009C6292" w:rsidRPr="00A86B3D">
              <w:rPr>
                <w:rFonts w:ascii="Times New Roman" w:eastAsia="標楷體" w:hAnsi="Times New Roman" w:cs="Times New Roman"/>
              </w:rPr>
              <w:t>季節性鼻炎、結膜炎、過敏性鼻炎、蕁麻疹、過敏性搔癢等過敏現象</w:t>
            </w:r>
            <w:r w:rsidRPr="00A86B3D">
              <w:rPr>
                <w:rFonts w:ascii="Times New Roman" w:eastAsia="標楷體" w:hAnsi="Times New Roman" w:cs="Times New Roman" w:hint="eastAsia"/>
              </w:rPr>
              <w:t>。</w:t>
            </w:r>
          </w:p>
        </w:tc>
        <w:tc>
          <w:tcPr>
            <w:tcW w:w="3949" w:type="dxa"/>
          </w:tcPr>
          <w:p w:rsidR="00BC1454" w:rsidRPr="00A86B3D" w:rsidRDefault="009C6292" w:rsidP="00CF4068">
            <w:pPr>
              <w:rPr>
                <w:rFonts w:ascii="Times New Roman" w:eastAsia="標楷體" w:hAnsi="Times New Roman" w:cs="Times New Roman"/>
              </w:rPr>
            </w:pPr>
            <w:r w:rsidRPr="00A86B3D">
              <w:rPr>
                <w:rFonts w:ascii="Times New Roman" w:eastAsia="標楷體" w:hAnsi="Times New Roman" w:cs="Times New Roman"/>
                <w:noProof/>
              </w:rPr>
              <w:drawing>
                <wp:inline distT="0" distB="0" distL="0" distR="0">
                  <wp:extent cx="2360428" cy="2112455"/>
                  <wp:effectExtent l="0" t="0" r="1905" b="254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下載 (1).jp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904"/>
                          <a:stretch/>
                        </pic:blipFill>
                        <pic:spPr bwMode="auto">
                          <a:xfrm>
                            <a:off x="0" y="0"/>
                            <a:ext cx="2375833" cy="21262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3" w:type="dxa"/>
            <w:gridSpan w:val="2"/>
          </w:tcPr>
          <w:p w:rsidR="00BC1454" w:rsidRPr="00A86B3D" w:rsidRDefault="009C6292" w:rsidP="00CF4068">
            <w:pPr>
              <w:rPr>
                <w:rFonts w:ascii="Times New Roman" w:eastAsia="標楷體" w:hAnsi="Times New Roman" w:cs="Times New Roman"/>
              </w:rPr>
            </w:pPr>
            <w:r w:rsidRPr="00A86B3D">
              <w:rPr>
                <w:rFonts w:ascii="Times New Roman" w:eastAsia="標楷體" w:hAnsi="Times New Roman" w:cs="Times New Roman"/>
                <w:noProof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119380</wp:posOffset>
                  </wp:positionH>
                  <wp:positionV relativeFrom="paragraph">
                    <wp:posOffset>98853</wp:posOffset>
                  </wp:positionV>
                  <wp:extent cx="2083982" cy="2503399"/>
                  <wp:effectExtent l="0" t="0" r="0" b="0"/>
                  <wp:wrapSquare wrapText="bothSides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57c8d616b258ca2c46d5ee596701c6a9.jp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23" r="22938"/>
                          <a:stretch/>
                        </pic:blipFill>
                        <pic:spPr bwMode="auto">
                          <a:xfrm>
                            <a:off x="0" y="0"/>
                            <a:ext cx="2083982" cy="25033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D2131" w:rsidRPr="00A86B3D" w:rsidTr="00F14873">
        <w:tc>
          <w:tcPr>
            <w:tcW w:w="10395" w:type="dxa"/>
            <w:gridSpan w:val="4"/>
          </w:tcPr>
          <w:p w:rsidR="005D2131" w:rsidRPr="00A86B3D" w:rsidRDefault="005D2131" w:rsidP="00CF4068">
            <w:pPr>
              <w:rPr>
                <w:rFonts w:ascii="Times New Roman" w:eastAsia="標楷體" w:hAnsi="Times New Roman" w:cs="Times New Roman"/>
                <w:noProof/>
              </w:rPr>
            </w:pPr>
          </w:p>
        </w:tc>
      </w:tr>
      <w:tr w:rsidR="00A86B3D" w:rsidRPr="00E24F1D" w:rsidTr="00F14873">
        <w:tc>
          <w:tcPr>
            <w:tcW w:w="2283" w:type="dxa"/>
          </w:tcPr>
          <w:p w:rsidR="00BC1454" w:rsidRPr="0000549B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BC1454" w:rsidRPr="00E24F1D" w:rsidRDefault="009C6292" w:rsidP="00CF406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廠商更換</w:t>
            </w:r>
          </w:p>
        </w:tc>
      </w:tr>
      <w:tr w:rsidR="00700334" w:rsidRPr="00E24F1D" w:rsidTr="00F14873">
        <w:tc>
          <w:tcPr>
            <w:tcW w:w="2283" w:type="dxa"/>
          </w:tcPr>
          <w:p w:rsidR="00A84A1D" w:rsidRPr="00E24F1D" w:rsidRDefault="00A84A1D" w:rsidP="00AE2AA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49" w:type="dxa"/>
          </w:tcPr>
          <w:p w:rsidR="00A84A1D" w:rsidRPr="00E24F1D" w:rsidRDefault="00A84A1D" w:rsidP="00AE2AA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63" w:type="dxa"/>
            <w:gridSpan w:val="2"/>
          </w:tcPr>
          <w:p w:rsidR="00A84A1D" w:rsidRPr="00E24F1D" w:rsidRDefault="00A84A1D" w:rsidP="00AE2AA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A86B3D" w:rsidRPr="00E24F1D" w:rsidTr="00F14873">
        <w:trPr>
          <w:trHeight w:val="4249"/>
        </w:trPr>
        <w:tc>
          <w:tcPr>
            <w:tcW w:w="2283" w:type="dxa"/>
          </w:tcPr>
          <w:p w:rsidR="00A84A1D" w:rsidRDefault="00A84A1D" w:rsidP="00AE2AA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代碼:</w:t>
            </w:r>
            <w:r w:rsidR="00B109C2" w:rsidRPr="00F566F4">
              <w:rPr>
                <w:rFonts w:ascii="Times New Roman" w:hAnsi="Times New Roman" w:cs="Times New Roman" w:hint="eastAsia"/>
                <w:color w:val="333333"/>
                <w:shd w:val="clear" w:color="auto" w:fill="FFFFFF"/>
              </w:rPr>
              <w:t>IGLUT</w:t>
            </w:r>
          </w:p>
          <w:p w:rsidR="00A84A1D" w:rsidRPr="00E24F1D" w:rsidRDefault="00A84A1D" w:rsidP="00AE2AA8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t>商品名：</w:t>
            </w:r>
            <w:r w:rsidR="0070033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Dathione Lyophilized Injection 500mg</w:t>
            </w:r>
          </w:p>
          <w:p w:rsidR="00A84A1D" w:rsidRDefault="00A84A1D" w:rsidP="00AE2AA8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成份:</w:t>
            </w:r>
            <w:r w:rsidR="0070033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GLUTATHIONE</w:t>
            </w:r>
          </w:p>
          <w:p w:rsidR="00A84A1D" w:rsidRPr="00381CE6" w:rsidRDefault="00A84A1D" w:rsidP="00AE2AA8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 w:hint="eastAsia"/>
              </w:rPr>
              <w:t>適應症:</w:t>
            </w:r>
          </w:p>
          <w:p w:rsidR="00700334" w:rsidRPr="00E24F1D" w:rsidRDefault="00700334" w:rsidP="00AE2AA8">
            <w:pPr>
              <w:rPr>
                <w:rFonts w:ascii="標楷體" w:eastAsia="標楷體" w:hAnsi="標楷體"/>
              </w:rPr>
            </w:pPr>
            <w:r w:rsidRPr="00700334">
              <w:rPr>
                <w:rFonts w:ascii="標楷體" w:eastAsia="標楷體" w:hAnsi="標楷體"/>
              </w:rPr>
              <w:t>胺基酸營養補充劑。</w:t>
            </w:r>
          </w:p>
        </w:tc>
        <w:tc>
          <w:tcPr>
            <w:tcW w:w="8112" w:type="dxa"/>
            <w:gridSpan w:val="3"/>
          </w:tcPr>
          <w:p w:rsidR="00700334" w:rsidRDefault="008405E4" w:rsidP="00AE2AA8">
            <w:pPr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1064895</wp:posOffset>
                  </wp:positionH>
                  <wp:positionV relativeFrom="paragraph">
                    <wp:posOffset>107950</wp:posOffset>
                  </wp:positionV>
                  <wp:extent cx="2704465" cy="2383790"/>
                  <wp:effectExtent l="0" t="0" r="635" b="0"/>
                  <wp:wrapSquare wrapText="bothSides"/>
                  <wp:docPr id="2" name="圖片 2" descr="Glutathi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lutathion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95"/>
                          <a:stretch/>
                        </pic:blipFill>
                        <pic:spPr bwMode="auto">
                          <a:xfrm>
                            <a:off x="0" y="0"/>
                            <a:ext cx="2704465" cy="2383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84A1D" w:rsidRPr="00E24F1D" w:rsidRDefault="00A84A1D" w:rsidP="00AE2AA8">
            <w:pPr>
              <w:rPr>
                <w:rFonts w:ascii="標楷體" w:eastAsia="標楷體" w:hAnsi="標楷體"/>
              </w:rPr>
            </w:pPr>
          </w:p>
        </w:tc>
      </w:tr>
      <w:tr w:rsidR="00A86B3D" w:rsidRPr="00E24F1D" w:rsidTr="00F14873">
        <w:tc>
          <w:tcPr>
            <w:tcW w:w="2283" w:type="dxa"/>
          </w:tcPr>
          <w:p w:rsidR="00A84A1D" w:rsidRPr="00B3652B" w:rsidRDefault="00A84A1D" w:rsidP="00AE2AA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B3652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A84A1D" w:rsidRPr="00E24F1D" w:rsidRDefault="00A84A1D" w:rsidP="00AE2A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700334" w:rsidRPr="00E24F1D" w:rsidTr="00F14873">
        <w:trPr>
          <w:trHeight w:val="4222"/>
        </w:trPr>
        <w:tc>
          <w:tcPr>
            <w:tcW w:w="2283" w:type="dxa"/>
          </w:tcPr>
          <w:p w:rsidR="00A84A1D" w:rsidRPr="00E24F1D" w:rsidRDefault="00A84A1D" w:rsidP="00AE2AA8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t>代</w:t>
            </w:r>
            <w:r w:rsidRPr="00381CE6">
              <w:rPr>
                <w:rFonts w:ascii="標楷體" w:eastAsia="標楷體" w:hAnsi="標楷體" w:hint="eastAsia"/>
              </w:rPr>
              <w:t>碼</w:t>
            </w:r>
            <w:r w:rsidRPr="00E24F1D">
              <w:rPr>
                <w:rFonts w:ascii="標楷體" w:eastAsia="標楷體" w:hAnsi="標楷體" w:hint="eastAsia"/>
              </w:rPr>
              <w:t>：</w:t>
            </w:r>
            <w:r w:rsidR="00F4798C" w:rsidRPr="007D746D">
              <w:rPr>
                <w:rFonts w:ascii="Times New Roman" w:eastAsia="標楷體" w:hAnsi="Times New Roman" w:cs="Times New Roman"/>
              </w:rPr>
              <w:t>OFEBU1</w:t>
            </w:r>
          </w:p>
          <w:p w:rsidR="00A84A1D" w:rsidRDefault="00A84A1D" w:rsidP="00A84A1D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E24F1D">
              <w:rPr>
                <w:rFonts w:ascii="標楷體" w:eastAsia="標楷體" w:hAnsi="標楷體" w:hint="eastAsia"/>
              </w:rPr>
              <w:t>商品名：</w:t>
            </w:r>
            <w:r w:rsidR="0070033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Febuton F.C. Tablets</w:t>
            </w:r>
          </w:p>
          <w:p w:rsidR="00F4798C" w:rsidRPr="00E24F1D" w:rsidRDefault="00F4798C" w:rsidP="00A84A1D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成份:</w:t>
            </w:r>
            <w:r>
              <w:t xml:space="preserve"> </w:t>
            </w:r>
            <w:r w:rsidRPr="00F4798C">
              <w:rPr>
                <w:rFonts w:ascii="標楷體" w:eastAsia="標楷體" w:hAnsi="標楷體"/>
              </w:rPr>
              <w:t>Febuxostat</w:t>
            </w:r>
          </w:p>
          <w:p w:rsidR="00A84A1D" w:rsidRPr="00E24F1D" w:rsidRDefault="00A84A1D" w:rsidP="00AE2AA8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t>劑量：</w:t>
            </w:r>
            <w:r w:rsidR="00700334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80mg</w:t>
            </w:r>
            <w:r w:rsidR="00F4798C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/tab</w:t>
            </w:r>
          </w:p>
          <w:p w:rsidR="00A84A1D" w:rsidRPr="00381CE6" w:rsidRDefault="00A84A1D" w:rsidP="00A84A1D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 w:hint="eastAsia"/>
              </w:rPr>
              <w:t>適應症：</w:t>
            </w:r>
            <w:r w:rsidR="00700334" w:rsidRPr="00A86B3D">
              <w:rPr>
                <w:rFonts w:ascii="標楷體" w:eastAsia="標楷體" w:hAnsi="標楷體" w:cs="Times New Roman"/>
                <w:color w:val="333333"/>
                <w:shd w:val="clear" w:color="auto" w:fill="FFFFFF"/>
              </w:rPr>
              <w:t>治療慢性痛風患者的高尿酸血症。不建議用於無症狀的高尿酸血症者。</w:t>
            </w:r>
          </w:p>
        </w:tc>
        <w:tc>
          <w:tcPr>
            <w:tcW w:w="3949" w:type="dxa"/>
          </w:tcPr>
          <w:p w:rsidR="00A84A1D" w:rsidRPr="00E24F1D" w:rsidRDefault="00700334" w:rsidP="00AE2AA8">
            <w:pPr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407035</wp:posOffset>
                  </wp:positionV>
                  <wp:extent cx="2229485" cy="1918970"/>
                  <wp:effectExtent l="0" t="0" r="0" b="5080"/>
                  <wp:wrapSquare wrapText="bothSides"/>
                  <wp:docPr id="3" name="圖片 3" descr="達理痛膜衣錠-痛風治療劑-代謝系統藥物-西藥製藥-生達化學製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達理痛膜衣錠-痛風治療劑-代謝系統藥物-西藥製藥-生達化學製藥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77" t="33301" r="24821"/>
                          <a:stretch/>
                        </pic:blipFill>
                        <pic:spPr bwMode="auto">
                          <a:xfrm>
                            <a:off x="0" y="0"/>
                            <a:ext cx="2229485" cy="1918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63" w:type="dxa"/>
            <w:gridSpan w:val="2"/>
          </w:tcPr>
          <w:p w:rsidR="00A84A1D" w:rsidRPr="00E24F1D" w:rsidRDefault="00A86B3D" w:rsidP="00AE2AA8">
            <w:pPr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5228</wp:posOffset>
                  </wp:positionH>
                  <wp:positionV relativeFrom="paragraph">
                    <wp:posOffset>596900</wp:posOffset>
                  </wp:positionV>
                  <wp:extent cx="2264410" cy="1435100"/>
                  <wp:effectExtent l="0" t="0" r="2540" b="0"/>
                  <wp:wrapSquare wrapText="bothSides"/>
                  <wp:docPr id="4" name="圖片 4" descr="痛風治療製劑/ Feburic 福避痛| 台灣安斯泰來製藥股份有限公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痛風治療製劑/ Feburic 福避痛| 台灣安斯泰來製藥股份有限公司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457" t="26053" r="5043" b="4960"/>
                          <a:stretch/>
                        </pic:blipFill>
                        <pic:spPr bwMode="auto">
                          <a:xfrm>
                            <a:off x="0" y="0"/>
                            <a:ext cx="2264410" cy="143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86B3D" w:rsidRPr="00E24F1D" w:rsidTr="00F14873">
        <w:tc>
          <w:tcPr>
            <w:tcW w:w="2283" w:type="dxa"/>
          </w:tcPr>
          <w:p w:rsidR="00A84A1D" w:rsidRPr="0000549B" w:rsidRDefault="00A84A1D" w:rsidP="00AE2AA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A84A1D" w:rsidRPr="00E24F1D" w:rsidRDefault="00A84A1D" w:rsidP="00AE2AA8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廠商更換</w:t>
            </w:r>
          </w:p>
        </w:tc>
      </w:tr>
      <w:tr w:rsidR="00F608EB" w:rsidRPr="00E24F1D" w:rsidTr="00F14873">
        <w:trPr>
          <w:trHeight w:val="4222"/>
        </w:trPr>
        <w:tc>
          <w:tcPr>
            <w:tcW w:w="2283" w:type="dxa"/>
          </w:tcPr>
          <w:p w:rsidR="00F608EB" w:rsidRPr="00E24F1D" w:rsidRDefault="00F608EB" w:rsidP="003317FF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lastRenderedPageBreak/>
              <w:t>代</w:t>
            </w:r>
            <w:r w:rsidRPr="00381CE6">
              <w:rPr>
                <w:rFonts w:ascii="標楷體" w:eastAsia="標楷體" w:hAnsi="標楷體" w:hint="eastAsia"/>
              </w:rPr>
              <w:t>碼</w:t>
            </w:r>
            <w:r w:rsidRPr="00E24F1D">
              <w:rPr>
                <w:rFonts w:ascii="標楷體" w:eastAsia="標楷體" w:hAnsi="標楷體" w:hint="eastAsia"/>
              </w:rPr>
              <w:t>：</w:t>
            </w:r>
            <w:r w:rsidR="00F776FE" w:rsidRPr="00F566F4">
              <w:rPr>
                <w:rFonts w:ascii="Times New Roman" w:hAnsi="Times New Roman" w:cs="Times New Roman" w:hint="eastAsia"/>
                <w:color w:val="333333"/>
                <w:shd w:val="clear" w:color="auto" w:fill="FFFFFF"/>
              </w:rPr>
              <w:t>OZITS</w:t>
            </w:r>
          </w:p>
          <w:p w:rsidR="00F608EB" w:rsidRPr="00E24F1D" w:rsidRDefault="00F608EB" w:rsidP="003317FF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t>商品名：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Azithrom Powder for Oral Suspension</w:t>
            </w:r>
          </w:p>
          <w:p w:rsidR="00F608EB" w:rsidRDefault="00F608EB" w:rsidP="003317FF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F608EB">
              <w:rPr>
                <w:rFonts w:ascii="標楷體" w:eastAsia="標楷體" w:hAnsi="標楷體" w:hint="eastAsia"/>
              </w:rPr>
              <w:t>成份: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AZITHROMYCIN DIHYDRATE</w:t>
            </w:r>
          </w:p>
          <w:p w:rsidR="009F352D" w:rsidRPr="00E24F1D" w:rsidRDefault="009F352D" w:rsidP="003317FF">
            <w:pPr>
              <w:rPr>
                <w:rFonts w:ascii="標楷體" w:eastAsia="標楷體" w:hAnsi="標楷體"/>
              </w:rPr>
            </w:pPr>
            <w:r w:rsidRPr="009F352D">
              <w:rPr>
                <w:rFonts w:ascii="標楷體" w:eastAsia="標楷體" w:hAnsi="標楷體" w:cs="Times New Roman" w:hint="eastAsia"/>
                <w:color w:val="333333"/>
                <w:shd w:val="clear" w:color="auto" w:fill="FFFFFF"/>
              </w:rPr>
              <w:t>劑量</w:t>
            </w:r>
            <w:r>
              <w:rPr>
                <w:rFonts w:ascii="Times New Roman" w:hAnsi="Times New Roman" w:cs="Times New Roman" w:hint="eastAsia"/>
                <w:color w:val="333333"/>
                <w:shd w:val="clear" w:color="auto" w:fill="FFFFFF"/>
              </w:rPr>
              <w:t>:</w:t>
            </w:r>
            <w:r>
              <w:t xml:space="preserve"> </w:t>
            </w:r>
            <w:r w:rsidRPr="009F352D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600mg/15ml/bot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;</w:t>
            </w:r>
          </w:p>
          <w:p w:rsidR="00F608EB" w:rsidRPr="00381CE6" w:rsidRDefault="00F608EB" w:rsidP="003317FF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 w:hint="eastAsia"/>
              </w:rPr>
              <w:t>適應症：</w:t>
            </w:r>
            <w:r w:rsidRPr="00F608EB">
              <w:rPr>
                <w:rFonts w:ascii="標楷體" w:eastAsia="標楷體" w:hAnsi="標楷體"/>
              </w:rPr>
              <w:t>革蘭氏陽性、陰性及厭氧菌引起之下呼吸道感染（包括支氣管炎及肺炎）皮膚及軟組織感染、中耳炎、上呼吸道感染和性傳染病。</w:t>
            </w:r>
          </w:p>
        </w:tc>
        <w:tc>
          <w:tcPr>
            <w:tcW w:w="3949" w:type="dxa"/>
          </w:tcPr>
          <w:p w:rsidR="00F608EB" w:rsidRPr="00E24F1D" w:rsidRDefault="00F608EB" w:rsidP="003317F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-27585</wp:posOffset>
                  </wp:positionH>
                  <wp:positionV relativeFrom="paragraph">
                    <wp:posOffset>610339</wp:posOffset>
                  </wp:positionV>
                  <wp:extent cx="2360428" cy="2360428"/>
                  <wp:effectExtent l="0" t="0" r="1905" b="1905"/>
                  <wp:wrapNone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下載 (2)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464" cy="23714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63" w:type="dxa"/>
            <w:gridSpan w:val="2"/>
          </w:tcPr>
          <w:p w:rsidR="00F608EB" w:rsidRPr="00E24F1D" w:rsidRDefault="00F608EB" w:rsidP="003317F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-24278</wp:posOffset>
                  </wp:positionH>
                  <wp:positionV relativeFrom="paragraph">
                    <wp:posOffset>626951</wp:posOffset>
                  </wp:positionV>
                  <wp:extent cx="2275368" cy="2545178"/>
                  <wp:effectExtent l="0" t="0" r="0" b="7620"/>
                  <wp:wrapNone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下載 (3).jp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857" b="7357"/>
                          <a:stretch/>
                        </pic:blipFill>
                        <pic:spPr bwMode="auto">
                          <a:xfrm>
                            <a:off x="0" y="0"/>
                            <a:ext cx="2275368" cy="25451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608EB" w:rsidRPr="00E24F1D" w:rsidTr="00F14873">
        <w:tc>
          <w:tcPr>
            <w:tcW w:w="2283" w:type="dxa"/>
          </w:tcPr>
          <w:p w:rsidR="00F608EB" w:rsidRPr="0000549B" w:rsidRDefault="00F608EB" w:rsidP="003317F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F608EB" w:rsidRPr="00E24F1D" w:rsidRDefault="00F608EB" w:rsidP="003317F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廠商更換</w:t>
            </w:r>
          </w:p>
        </w:tc>
      </w:tr>
      <w:tr w:rsidR="00F776FE" w:rsidRPr="00E24F1D" w:rsidTr="00F14873">
        <w:trPr>
          <w:trHeight w:val="4222"/>
        </w:trPr>
        <w:tc>
          <w:tcPr>
            <w:tcW w:w="2283" w:type="dxa"/>
          </w:tcPr>
          <w:p w:rsidR="00F776FE" w:rsidRPr="00E24F1D" w:rsidRDefault="00F776FE" w:rsidP="003317FF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t>代</w:t>
            </w:r>
            <w:r w:rsidRPr="00381CE6">
              <w:rPr>
                <w:rFonts w:ascii="標楷體" w:eastAsia="標楷體" w:hAnsi="標楷體" w:hint="eastAsia"/>
              </w:rPr>
              <w:t>碼</w:t>
            </w:r>
            <w:r w:rsidRPr="00E24F1D">
              <w:rPr>
                <w:rFonts w:ascii="標楷體" w:eastAsia="標楷體" w:hAnsi="標楷體" w:hint="eastAsia"/>
              </w:rPr>
              <w:t>：</w:t>
            </w:r>
          </w:p>
          <w:p w:rsidR="00F776FE" w:rsidRDefault="00F776FE" w:rsidP="003317FF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E24F1D">
              <w:rPr>
                <w:rFonts w:ascii="標楷體" w:eastAsia="標楷體" w:hAnsi="標楷體" w:hint="eastAsia"/>
              </w:rPr>
              <w:t>商品名：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Exforge film-coated tablet 5/160mg</w:t>
            </w:r>
          </w:p>
          <w:p w:rsidR="00F776FE" w:rsidRPr="00E24F1D" w:rsidRDefault="00F776FE" w:rsidP="003317FF">
            <w:pPr>
              <w:rPr>
                <w:rFonts w:ascii="標楷體" w:eastAsia="標楷體" w:hAnsi="標楷體"/>
              </w:rPr>
            </w:pPr>
            <w:r w:rsidRPr="00F776FE">
              <w:rPr>
                <w:rFonts w:ascii="標楷體" w:eastAsia="標楷體" w:hAnsi="標楷體" w:hint="eastAsia"/>
              </w:rPr>
              <w:t>劑量:</w:t>
            </w:r>
            <w:r>
              <w:rPr>
                <w:rFonts w:ascii="標楷體" w:eastAsia="標楷體" w:hAnsi="標楷體" w:hint="eastAsia"/>
              </w:rPr>
              <w:t>5/160</w:t>
            </w:r>
          </w:p>
          <w:p w:rsidR="00F776FE" w:rsidRPr="00E24F1D" w:rsidRDefault="00F776FE" w:rsidP="003317FF">
            <w:pPr>
              <w:rPr>
                <w:rFonts w:ascii="標楷體" w:eastAsia="標楷體" w:hAnsi="標楷體"/>
              </w:rPr>
            </w:pPr>
            <w:r w:rsidRPr="00F608EB">
              <w:rPr>
                <w:rFonts w:ascii="標楷體" w:eastAsia="標楷體" w:hAnsi="標楷體" w:hint="eastAsia"/>
              </w:rPr>
              <w:t>成份:</w:t>
            </w:r>
            <w:r w:rsidR="00EE44E0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AMLODIPINE ,VALSARTAN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BESYLATE</w:t>
            </w:r>
          </w:p>
          <w:p w:rsidR="00F776FE" w:rsidRPr="00381CE6" w:rsidRDefault="00F776FE" w:rsidP="003317FF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 w:hint="eastAsia"/>
              </w:rPr>
              <w:t>適應症：</w:t>
            </w:r>
            <w:r w:rsidRPr="00F776FE">
              <w:rPr>
                <w:rFonts w:ascii="標楷體" w:eastAsia="標楷體" w:hAnsi="標楷體"/>
              </w:rPr>
              <w:t>治療高血壓，此複方藥品不適合用於起始治療。</w:t>
            </w:r>
          </w:p>
        </w:tc>
        <w:tc>
          <w:tcPr>
            <w:tcW w:w="3949" w:type="dxa"/>
          </w:tcPr>
          <w:p w:rsidR="00F776FE" w:rsidRPr="00E24F1D" w:rsidRDefault="00F776FE" w:rsidP="003317F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57476</wp:posOffset>
                  </wp:positionH>
                  <wp:positionV relativeFrom="paragraph">
                    <wp:posOffset>124490</wp:posOffset>
                  </wp:positionV>
                  <wp:extent cx="2193072" cy="2190307"/>
                  <wp:effectExtent l="0" t="0" r="0" b="635"/>
                  <wp:wrapNone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s.jpg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16" r="9486"/>
                          <a:stretch/>
                        </pic:blipFill>
                        <pic:spPr bwMode="auto">
                          <a:xfrm>
                            <a:off x="0" y="0"/>
                            <a:ext cx="2206333" cy="2203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63" w:type="dxa"/>
            <w:gridSpan w:val="2"/>
          </w:tcPr>
          <w:p w:rsidR="00F776FE" w:rsidRPr="00E24F1D" w:rsidRDefault="00F776FE" w:rsidP="003317F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60636</wp:posOffset>
                  </wp:positionH>
                  <wp:positionV relativeFrom="paragraph">
                    <wp:posOffset>113414</wp:posOffset>
                  </wp:positionV>
                  <wp:extent cx="2238687" cy="2216776"/>
                  <wp:effectExtent l="0" t="0" r="0" b="0"/>
                  <wp:wrapNone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下載 (4).jpg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050" r="32112"/>
                          <a:stretch/>
                        </pic:blipFill>
                        <pic:spPr bwMode="auto">
                          <a:xfrm>
                            <a:off x="0" y="0"/>
                            <a:ext cx="2238687" cy="22167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776FE" w:rsidRPr="00E24F1D" w:rsidTr="00F14873">
        <w:tc>
          <w:tcPr>
            <w:tcW w:w="2283" w:type="dxa"/>
          </w:tcPr>
          <w:p w:rsidR="00F776FE" w:rsidRPr="0000549B" w:rsidRDefault="00F776FE" w:rsidP="003317F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F776FE" w:rsidRPr="00E24F1D" w:rsidRDefault="00B109C2" w:rsidP="003317F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不同劑量並存</w:t>
            </w:r>
          </w:p>
        </w:tc>
      </w:tr>
      <w:tr w:rsidR="002702A7" w:rsidRPr="00E24F1D" w:rsidTr="00F14873">
        <w:trPr>
          <w:trHeight w:val="6936"/>
        </w:trPr>
        <w:tc>
          <w:tcPr>
            <w:tcW w:w="2283" w:type="dxa"/>
          </w:tcPr>
          <w:p w:rsidR="002702A7" w:rsidRPr="00E24F1D" w:rsidRDefault="002702A7" w:rsidP="003317FF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lastRenderedPageBreak/>
              <w:t>代</w:t>
            </w:r>
            <w:r w:rsidRPr="00381CE6">
              <w:rPr>
                <w:rFonts w:ascii="標楷體" w:eastAsia="標楷體" w:hAnsi="標楷體" w:hint="eastAsia"/>
              </w:rPr>
              <w:t>碼</w:t>
            </w:r>
            <w:r w:rsidRPr="00E24F1D">
              <w:rPr>
                <w:rFonts w:ascii="標楷體" w:eastAsia="標楷體" w:hAnsi="標楷體" w:hint="eastAsia"/>
              </w:rPr>
              <w:t>：</w:t>
            </w:r>
            <w:r w:rsidRPr="00C42243">
              <w:rPr>
                <w:rFonts w:ascii="Times New Roman" w:hAnsi="Times New Roman" w:cs="Times New Roman" w:hint="eastAsia"/>
                <w:color w:val="333333"/>
                <w:shd w:val="clear" w:color="auto" w:fill="FFFFFF"/>
              </w:rPr>
              <w:t>IBUPR</w:t>
            </w:r>
          </w:p>
          <w:p w:rsidR="002702A7" w:rsidRDefault="002702A7" w:rsidP="003317FF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E24F1D">
              <w:rPr>
                <w:rFonts w:ascii="標楷體" w:eastAsia="標楷體" w:hAnsi="標楷體" w:hint="eastAsia"/>
              </w:rPr>
              <w:t>商品名：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Bupion SR Tablets 150mg</w:t>
            </w:r>
          </w:p>
          <w:p w:rsidR="002702A7" w:rsidRPr="00E24F1D" w:rsidRDefault="002702A7" w:rsidP="003317FF">
            <w:pPr>
              <w:rPr>
                <w:rFonts w:ascii="標楷體" w:eastAsia="標楷體" w:hAnsi="標楷體"/>
              </w:rPr>
            </w:pPr>
            <w:r w:rsidRPr="00F776FE">
              <w:rPr>
                <w:rFonts w:ascii="標楷體" w:eastAsia="標楷體" w:hAnsi="標楷體" w:hint="eastAsia"/>
              </w:rPr>
              <w:t>劑量:</w:t>
            </w:r>
            <w:r w:rsidRPr="00C42243">
              <w:rPr>
                <w:rFonts w:ascii="Times New Roman" w:hAnsi="Times New Roman" w:cs="Times New Roman" w:hint="eastAsia"/>
                <w:color w:val="333333"/>
                <w:shd w:val="clear" w:color="auto" w:fill="FFFFFF"/>
              </w:rPr>
              <w:t>150</w:t>
            </w:r>
            <w:r w:rsidR="004B6F40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/tab</w:t>
            </w:r>
          </w:p>
          <w:p w:rsidR="002702A7" w:rsidRPr="00E24F1D" w:rsidRDefault="002702A7" w:rsidP="003317FF">
            <w:pPr>
              <w:rPr>
                <w:rFonts w:ascii="標楷體" w:eastAsia="標楷體" w:hAnsi="標楷體"/>
              </w:rPr>
            </w:pPr>
            <w:r w:rsidRPr="00F608EB">
              <w:rPr>
                <w:rFonts w:ascii="標楷體" w:eastAsia="標楷體" w:hAnsi="標楷體" w:hint="eastAsia"/>
              </w:rPr>
              <w:t>成份: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BUPROPION HYDROCHLORIDE</w:t>
            </w:r>
          </w:p>
          <w:p w:rsidR="002702A7" w:rsidRPr="00381CE6" w:rsidRDefault="002702A7" w:rsidP="003317FF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 w:hint="eastAsia"/>
              </w:rPr>
              <w:t>適應症：</w:t>
            </w:r>
            <w:r w:rsidRPr="002702A7">
              <w:rPr>
                <w:rFonts w:ascii="標楷體" w:eastAsia="標楷體" w:hAnsi="標楷體"/>
              </w:rPr>
              <w:t>治療憂鬱症、及治療尼古丁依賴症，作為戒菸之輔助。</w:t>
            </w:r>
          </w:p>
        </w:tc>
        <w:tc>
          <w:tcPr>
            <w:tcW w:w="8112" w:type="dxa"/>
            <w:gridSpan w:val="3"/>
          </w:tcPr>
          <w:p w:rsidR="000A49D5" w:rsidRPr="00E24F1D" w:rsidRDefault="000A49D5" w:rsidP="003317FF">
            <w:pPr>
              <w:rPr>
                <w:rFonts w:ascii="標楷體" w:eastAsia="標楷體" w:hAnsi="標楷體"/>
                <w:noProof/>
              </w:rPr>
            </w:pPr>
            <w:r>
              <w:rPr>
                <w:rFonts w:ascii="標楷體" w:eastAsia="標楷體" w:hAnsi="標楷體"/>
                <w:noProof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2512237</wp:posOffset>
                  </wp:positionH>
                  <wp:positionV relativeFrom="paragraph">
                    <wp:posOffset>1167765</wp:posOffset>
                  </wp:positionV>
                  <wp:extent cx="2328752" cy="2319418"/>
                  <wp:effectExtent l="0" t="0" r="0" b="5080"/>
                  <wp:wrapNone/>
                  <wp:docPr id="25" name="圖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appearance_A056782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8752" cy="23194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24242B92" wp14:editId="1AA833D1">
                  <wp:simplePos x="0" y="0"/>
                  <wp:positionH relativeFrom="column">
                    <wp:posOffset>-28088</wp:posOffset>
                  </wp:positionH>
                  <wp:positionV relativeFrom="paragraph">
                    <wp:posOffset>67812</wp:posOffset>
                  </wp:positionV>
                  <wp:extent cx="2753832" cy="4273786"/>
                  <wp:effectExtent l="0" t="0" r="8890" b="0"/>
                  <wp:wrapNone/>
                  <wp:docPr id="27" name="圖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093" t="52653" r="58182" b="13504"/>
                          <a:stretch/>
                        </pic:blipFill>
                        <pic:spPr bwMode="auto">
                          <a:xfrm>
                            <a:off x="0" y="0"/>
                            <a:ext cx="2753832" cy="42737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702A7">
              <w:rPr>
                <w:rFonts w:ascii="標楷體" w:eastAsia="標楷體" w:hAnsi="標楷體"/>
                <w:noProof/>
              </w:rPr>
              <w:t xml:space="preserve">  </w:t>
            </w:r>
            <w:r>
              <w:rPr>
                <w:rFonts w:ascii="標楷體" w:eastAsia="標楷體" w:hAnsi="標楷體"/>
                <w:noProof/>
              </w:rPr>
              <w:t xml:space="preserve"> </w:t>
            </w:r>
          </w:p>
        </w:tc>
      </w:tr>
      <w:tr w:rsidR="002702A7" w:rsidRPr="00E24F1D" w:rsidTr="00F14873">
        <w:tc>
          <w:tcPr>
            <w:tcW w:w="2283" w:type="dxa"/>
          </w:tcPr>
          <w:p w:rsidR="002702A7" w:rsidRPr="0000549B" w:rsidRDefault="002702A7" w:rsidP="003317F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2702A7" w:rsidRPr="00E24F1D" w:rsidRDefault="000A49D5" w:rsidP="003317F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新進藥品</w:t>
            </w:r>
          </w:p>
        </w:tc>
      </w:tr>
      <w:tr w:rsidR="00B53D72" w:rsidRPr="00E24F1D" w:rsidTr="00F14873">
        <w:trPr>
          <w:trHeight w:val="2967"/>
        </w:trPr>
        <w:tc>
          <w:tcPr>
            <w:tcW w:w="2283" w:type="dxa"/>
          </w:tcPr>
          <w:p w:rsidR="00B53D72" w:rsidRPr="00E24F1D" w:rsidRDefault="00B53D72" w:rsidP="003317FF">
            <w:pPr>
              <w:rPr>
                <w:rFonts w:ascii="標楷體" w:eastAsia="標楷體" w:hAnsi="標楷體"/>
              </w:rPr>
            </w:pPr>
            <w:r w:rsidRPr="00E24F1D">
              <w:rPr>
                <w:rFonts w:ascii="標楷體" w:eastAsia="標楷體" w:hAnsi="標楷體" w:hint="eastAsia"/>
              </w:rPr>
              <w:t>代</w:t>
            </w:r>
            <w:r w:rsidRPr="00381CE6">
              <w:rPr>
                <w:rFonts w:ascii="標楷體" w:eastAsia="標楷體" w:hAnsi="標楷體" w:hint="eastAsia"/>
              </w:rPr>
              <w:t>碼</w:t>
            </w:r>
            <w:r w:rsidRPr="00E24F1D">
              <w:rPr>
                <w:rFonts w:ascii="標楷體" w:eastAsia="標楷體" w:hAnsi="標楷體" w:hint="eastAsia"/>
              </w:rPr>
              <w:t>：</w:t>
            </w:r>
            <w:r w:rsidRPr="00C42243">
              <w:rPr>
                <w:rFonts w:ascii="Times New Roman" w:hAnsi="Times New Roman" w:cs="Times New Roman" w:hint="eastAsia"/>
                <w:color w:val="333333"/>
                <w:shd w:val="clear" w:color="auto" w:fill="FFFFFF"/>
              </w:rPr>
              <w:t>OPZA5</w:t>
            </w:r>
          </w:p>
          <w:p w:rsidR="00B53D72" w:rsidRDefault="00B53D72" w:rsidP="003317FF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E24F1D">
              <w:rPr>
                <w:rFonts w:ascii="標楷體" w:eastAsia="標楷體" w:hAnsi="標楷體" w:hint="eastAsia"/>
              </w:rPr>
              <w:t>商品名：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PYRAZINAMIDE TABLETS 500MG "P.L."</w:t>
            </w:r>
          </w:p>
          <w:p w:rsidR="00B53D72" w:rsidRDefault="00B53D72" w:rsidP="003317FF">
            <w:pPr>
              <w:rPr>
                <w:rFonts w:ascii="Times New Roman" w:hAnsi="Times New Roman" w:cs="Times New Roman"/>
                <w:color w:val="333333"/>
                <w:shd w:val="clear" w:color="auto" w:fill="FFFFFF"/>
              </w:rPr>
            </w:pPr>
            <w:r w:rsidRPr="00F608EB">
              <w:rPr>
                <w:rFonts w:ascii="標楷體" w:eastAsia="標楷體" w:hAnsi="標楷體" w:hint="eastAsia"/>
              </w:rPr>
              <w:t>成份: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 xml:space="preserve"> PYRAZINAMIDE</w:t>
            </w:r>
          </w:p>
          <w:p w:rsidR="000C4F9F" w:rsidRPr="00E24F1D" w:rsidRDefault="000C4F9F" w:rsidP="003317FF">
            <w:pPr>
              <w:rPr>
                <w:rFonts w:ascii="標楷體" w:eastAsia="標楷體" w:hAnsi="標楷體"/>
              </w:rPr>
            </w:pPr>
            <w:r w:rsidRPr="00F776FE">
              <w:rPr>
                <w:rFonts w:ascii="標楷體" w:eastAsia="標楷體" w:hAnsi="標楷體" w:hint="eastAsia"/>
              </w:rPr>
              <w:t>劑量:</w:t>
            </w:r>
            <w:r w:rsidRPr="00C42243">
              <w:rPr>
                <w:rFonts w:ascii="Times New Roman" w:hAnsi="Times New Roman" w:cs="Times New Roman" w:hint="eastAsia"/>
                <w:color w:val="333333"/>
                <w:shd w:val="clear" w:color="auto" w:fill="FFFFFF"/>
              </w:rPr>
              <w:t>500</w:t>
            </w:r>
            <w:r w:rsidRPr="00C42243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mg</w:t>
            </w:r>
            <w:r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/tab</w:t>
            </w:r>
          </w:p>
          <w:p w:rsidR="00B53D72" w:rsidRPr="00381CE6" w:rsidRDefault="00B53D72" w:rsidP="003317FF">
            <w:pPr>
              <w:rPr>
                <w:rFonts w:ascii="標楷體" w:eastAsia="標楷體" w:hAnsi="標楷體"/>
              </w:rPr>
            </w:pPr>
            <w:r w:rsidRPr="00381CE6">
              <w:rPr>
                <w:rFonts w:ascii="標楷體" w:eastAsia="標楷體" w:hAnsi="標楷體" w:hint="eastAsia"/>
              </w:rPr>
              <w:t>適應症：</w:t>
            </w:r>
            <w:r w:rsidRPr="00B53D72">
              <w:rPr>
                <w:rFonts w:ascii="標楷體" w:eastAsia="標楷體" w:hAnsi="標楷體"/>
              </w:rPr>
              <w:t>肺結核及其他之結核症</w:t>
            </w:r>
          </w:p>
        </w:tc>
        <w:tc>
          <w:tcPr>
            <w:tcW w:w="8112" w:type="dxa"/>
            <w:gridSpan w:val="3"/>
          </w:tcPr>
          <w:p w:rsidR="00B53D72" w:rsidRPr="00E24F1D" w:rsidRDefault="00AF5CF0" w:rsidP="003317FF">
            <w:pPr>
              <w:rPr>
                <w:rFonts w:ascii="標楷體" w:eastAsia="標楷體" w:hAnsi="標楷體"/>
                <w:noProof/>
              </w:rPr>
            </w:pPr>
            <w:r>
              <w:rPr>
                <w:rFonts w:ascii="標楷體" w:eastAsia="標楷體" w:hAnsi="標楷體" w:hint="eastAsia"/>
                <w:noProof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1928466</wp:posOffset>
                  </wp:positionH>
                  <wp:positionV relativeFrom="paragraph">
                    <wp:posOffset>222753</wp:posOffset>
                  </wp:positionV>
                  <wp:extent cx="2795905" cy="1881237"/>
                  <wp:effectExtent l="0" t="0" r="4445" b="5080"/>
                  <wp:wrapNone/>
                  <wp:docPr id="31" name="圖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4042021_1.jpg"/>
                          <pic:cNvPicPr/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50" t="50467" r="28030" b="14772"/>
                          <a:stretch/>
                        </pic:blipFill>
                        <pic:spPr bwMode="auto">
                          <a:xfrm>
                            <a:off x="0" y="0"/>
                            <a:ext cx="2795905" cy="18812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 w:hint="eastAsia"/>
                <w:noProof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25312</wp:posOffset>
                  </wp:positionH>
                  <wp:positionV relativeFrom="paragraph">
                    <wp:posOffset>52705</wp:posOffset>
                  </wp:positionV>
                  <wp:extent cx="1764665" cy="2199980"/>
                  <wp:effectExtent l="0" t="0" r="6985" b="0"/>
                  <wp:wrapNone/>
                  <wp:docPr id="30" name="圖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9f6c675f293860d9658ab7f61cb135ff.jp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844" t="20444" r="35689" b="5343"/>
                          <a:stretch/>
                        </pic:blipFill>
                        <pic:spPr bwMode="auto">
                          <a:xfrm>
                            <a:off x="0" y="0"/>
                            <a:ext cx="1764665" cy="2199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53D72">
              <w:rPr>
                <w:rFonts w:ascii="標楷體" w:eastAsia="標楷體" w:hAnsi="標楷體"/>
                <w:noProof/>
              </w:rPr>
              <w:t xml:space="preserve">   </w:t>
            </w:r>
          </w:p>
        </w:tc>
      </w:tr>
      <w:tr w:rsidR="00B53D72" w:rsidRPr="00E24F1D" w:rsidTr="00F14873">
        <w:tc>
          <w:tcPr>
            <w:tcW w:w="2283" w:type="dxa"/>
          </w:tcPr>
          <w:p w:rsidR="00B53D72" w:rsidRPr="0000549B" w:rsidRDefault="00B53D72" w:rsidP="003317FF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B53D72" w:rsidRPr="00E24F1D" w:rsidRDefault="00AF5CF0" w:rsidP="003317FF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廠商回收</w:t>
            </w:r>
          </w:p>
        </w:tc>
      </w:tr>
      <w:tr w:rsidR="00154219" w:rsidRPr="00E24F1D" w:rsidTr="00154219">
        <w:tc>
          <w:tcPr>
            <w:tcW w:w="2283" w:type="dxa"/>
          </w:tcPr>
          <w:p w:rsidR="00154219" w:rsidRPr="00E24F1D" w:rsidRDefault="00154219" w:rsidP="0015421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965" w:type="dxa"/>
            <w:gridSpan w:val="2"/>
          </w:tcPr>
          <w:p w:rsidR="00154219" w:rsidRPr="00E24F1D" w:rsidRDefault="00154219" w:rsidP="0015421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47" w:type="dxa"/>
          </w:tcPr>
          <w:p w:rsidR="00154219" w:rsidRPr="00E24F1D" w:rsidRDefault="00154219" w:rsidP="0015421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154219" w:rsidRPr="00E24F1D" w:rsidTr="00154219">
        <w:tc>
          <w:tcPr>
            <w:tcW w:w="2283" w:type="dxa"/>
          </w:tcPr>
          <w:p w:rsidR="00154219" w:rsidRPr="00AA16D2" w:rsidRDefault="00154219" w:rsidP="00154219">
            <w:pPr>
              <w:rPr>
                <w:rFonts w:ascii="標楷體" w:eastAsia="標楷體" w:hAnsi="標楷體"/>
              </w:rPr>
            </w:pPr>
            <w:r w:rsidRPr="00AA16D2">
              <w:rPr>
                <w:rFonts w:ascii="標楷體" w:eastAsia="標楷體" w:hAnsi="標楷體" w:hint="eastAsia"/>
              </w:rPr>
              <w:lastRenderedPageBreak/>
              <w:t>代碼：</w:t>
            </w:r>
            <w:r w:rsidRPr="00AA16D2">
              <w:rPr>
                <w:rFonts w:ascii="Times New Roman" w:eastAsia="標楷體" w:hAnsi="Times New Roman" w:cs="Times New Roman"/>
              </w:rPr>
              <w:t>ECALC</w:t>
            </w:r>
          </w:p>
          <w:p w:rsidR="00154219" w:rsidRPr="00AA16D2" w:rsidRDefault="00154219" w:rsidP="00154219">
            <w:pPr>
              <w:rPr>
                <w:rFonts w:ascii="標楷體" w:eastAsia="標楷體" w:hAnsi="標楷體"/>
              </w:rPr>
            </w:pPr>
            <w:r w:rsidRPr="00AA16D2">
              <w:rPr>
                <w:rFonts w:ascii="標楷體" w:eastAsia="標楷體" w:hAnsi="標楷體" w:hint="eastAsia"/>
              </w:rPr>
              <w:t>商品名：</w:t>
            </w:r>
            <w:r w:rsidRPr="00AA16D2">
              <w:rPr>
                <w:rFonts w:ascii="Times New Roman" w:eastAsia="標楷體" w:hAnsi="Times New Roman" w:cs="Times New Roman"/>
              </w:rPr>
              <w:t>Calskin</w:t>
            </w:r>
            <w:r w:rsidRPr="00AA16D2">
              <w:rPr>
                <w:rFonts w:ascii="標楷體" w:eastAsia="標楷體" w:hAnsi="標楷體" w:hint="eastAsia"/>
              </w:rPr>
              <w:t xml:space="preserve"> (衛達化學製藥)</w:t>
            </w:r>
          </w:p>
          <w:p w:rsidR="00154219" w:rsidRPr="00AA16D2" w:rsidRDefault="00154219" w:rsidP="00154219">
            <w:pPr>
              <w:rPr>
                <w:rFonts w:ascii="標楷體" w:eastAsia="標楷體" w:hAnsi="標楷體"/>
              </w:rPr>
            </w:pPr>
            <w:r w:rsidRPr="00AA16D2">
              <w:rPr>
                <w:rFonts w:ascii="標楷體" w:eastAsia="標楷體" w:hAnsi="標楷體" w:hint="eastAsia"/>
              </w:rPr>
              <w:t>成份：</w:t>
            </w:r>
            <w:r w:rsidRPr="00AA16D2">
              <w:rPr>
                <w:rFonts w:ascii="Times New Roman" w:eastAsia="標楷體" w:hAnsi="Times New Roman" w:cs="Times New Roman"/>
              </w:rPr>
              <w:t>Calcipotriol oint</w:t>
            </w:r>
          </w:p>
          <w:p w:rsidR="00154219" w:rsidRPr="00AA16D2" w:rsidRDefault="00154219" w:rsidP="00154219">
            <w:pPr>
              <w:rPr>
                <w:rFonts w:ascii="標楷體" w:eastAsia="標楷體" w:hAnsi="標楷體"/>
              </w:rPr>
            </w:pPr>
            <w:r w:rsidRPr="00AA16D2">
              <w:rPr>
                <w:rFonts w:ascii="標楷體" w:eastAsia="標楷體" w:hAnsi="標楷體" w:hint="eastAsia"/>
              </w:rPr>
              <w:t>劑量：</w:t>
            </w:r>
            <w:r w:rsidRPr="00AA16D2">
              <w:rPr>
                <w:rFonts w:ascii="Times New Roman" w:eastAsia="標楷體" w:hAnsi="Times New Roman" w:cs="Times New Roman"/>
              </w:rPr>
              <w:t xml:space="preserve">30g/tub </w:t>
            </w:r>
          </w:p>
          <w:p w:rsidR="00154219" w:rsidRPr="00AA16D2" w:rsidRDefault="00154219" w:rsidP="00154219">
            <w:pPr>
              <w:rPr>
                <w:rFonts w:ascii="標楷體" w:eastAsia="標楷體" w:hAnsi="標楷體"/>
              </w:rPr>
            </w:pPr>
            <w:r w:rsidRPr="00AA16D2">
              <w:rPr>
                <w:rFonts w:ascii="標楷體" w:eastAsia="標楷體" w:hAnsi="標楷體" w:hint="eastAsia"/>
              </w:rPr>
              <w:t>適應症：尋常性牛皮癬及其他適應症。</w:t>
            </w:r>
          </w:p>
          <w:p w:rsidR="00154219" w:rsidRPr="00154219" w:rsidRDefault="00154219" w:rsidP="00154219">
            <w:r w:rsidRPr="00AA16D2">
              <w:rPr>
                <w:rFonts w:ascii="標楷體" w:eastAsia="標楷體" w:hAnsi="標楷體" w:hint="eastAsia"/>
              </w:rPr>
              <w:t>用法用量：一天二次，塗抹患處</w:t>
            </w:r>
          </w:p>
        </w:tc>
        <w:tc>
          <w:tcPr>
            <w:tcW w:w="3965" w:type="dxa"/>
            <w:gridSpan w:val="2"/>
          </w:tcPr>
          <w:p w:rsidR="00154219" w:rsidRDefault="00F01939" w:rsidP="00154219">
            <w:pPr>
              <w:jc w:val="center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76199</wp:posOffset>
                  </wp:positionV>
                  <wp:extent cx="2324100" cy="1713731"/>
                  <wp:effectExtent l="0" t="0" r="0" b="1270"/>
                  <wp:wrapNone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97" t="47378" r="46227" b="13170"/>
                          <a:stretch/>
                        </pic:blipFill>
                        <pic:spPr bwMode="auto">
                          <a:xfrm>
                            <a:off x="0" y="0"/>
                            <a:ext cx="2333837" cy="17209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47" w:type="dxa"/>
          </w:tcPr>
          <w:p w:rsidR="00154219" w:rsidRDefault="00154219" w:rsidP="00154219">
            <w:pPr>
              <w:jc w:val="center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>
                  <wp:extent cx="2463377" cy="1847533"/>
                  <wp:effectExtent l="0" t="0" r="0" b="635"/>
                  <wp:docPr id="7" name="圖片 7" descr="得膚寧軟膏的功效、正確用法及成分- 康健知識庫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得膚寧軟膏的功效、正確用法及成分- 康健知識庫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8098" cy="1858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219" w:rsidRPr="00E24F1D" w:rsidTr="00F14873">
        <w:tc>
          <w:tcPr>
            <w:tcW w:w="2283" w:type="dxa"/>
          </w:tcPr>
          <w:p w:rsidR="00154219" w:rsidRPr="0000549B" w:rsidRDefault="00154219" w:rsidP="0015421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8112" w:type="dxa"/>
            <w:gridSpan w:val="3"/>
          </w:tcPr>
          <w:p w:rsidR="00154219" w:rsidRPr="00AA16D2" w:rsidRDefault="00154219" w:rsidP="00154219">
            <w:pPr>
              <w:jc w:val="center"/>
              <w:rPr>
                <w:rFonts w:ascii="標楷體" w:eastAsia="標楷體" w:hAnsi="標楷體"/>
              </w:rPr>
            </w:pPr>
            <w:r w:rsidRPr="00AA16D2">
              <w:rPr>
                <w:rFonts w:ascii="標楷體" w:eastAsia="標楷體" w:hAnsi="標楷體" w:hint="eastAsia"/>
              </w:rPr>
              <w:t>取代原</w:t>
            </w:r>
            <w:r w:rsidRPr="00AA16D2">
              <w:rPr>
                <w:rFonts w:ascii="Times New Roman" w:eastAsia="標楷體" w:hAnsi="Times New Roman" w:cs="Times New Roman"/>
              </w:rPr>
              <w:t>Calcipotriol oint. 30g/tub (Daivonex)</w:t>
            </w:r>
          </w:p>
        </w:tc>
      </w:tr>
      <w:tr w:rsidR="00830C26" w:rsidRPr="00E24F1D" w:rsidTr="00830C26">
        <w:tc>
          <w:tcPr>
            <w:tcW w:w="2283" w:type="dxa"/>
          </w:tcPr>
          <w:p w:rsidR="00830C26" w:rsidRPr="00830C26" w:rsidRDefault="00830C26" w:rsidP="00830C26">
            <w:pPr>
              <w:rPr>
                <w:rFonts w:ascii="Times New Roman" w:eastAsia="標楷體" w:hAnsi="Times New Roman" w:cs="Times New Roman"/>
              </w:rPr>
            </w:pPr>
            <w:r w:rsidRPr="00830C26">
              <w:rPr>
                <w:rFonts w:ascii="標楷體" w:eastAsia="標楷體" w:hAnsi="標楷體" w:hint="eastAsia"/>
              </w:rPr>
              <w:t>代碼：</w:t>
            </w:r>
            <w:r w:rsidRPr="00830C26">
              <w:rPr>
                <w:rFonts w:ascii="Times New Roman" w:eastAsia="標楷體" w:hAnsi="Times New Roman" w:cs="Times New Roman"/>
              </w:rPr>
              <w:t>OEMPA1</w:t>
            </w:r>
          </w:p>
          <w:p w:rsidR="00830C26" w:rsidRPr="00830C26" w:rsidRDefault="00830C26" w:rsidP="00830C26">
            <w:pPr>
              <w:rPr>
                <w:rFonts w:ascii="Times New Roman" w:eastAsia="標楷體" w:hAnsi="Times New Roman" w:cs="Times New Roman"/>
              </w:rPr>
            </w:pPr>
            <w:r w:rsidRPr="00830C26">
              <w:rPr>
                <w:rFonts w:ascii="標楷體" w:eastAsia="標楷體" w:hAnsi="標楷體" w:hint="eastAsia"/>
              </w:rPr>
              <w:t>商品名：</w:t>
            </w:r>
            <w:r w:rsidRPr="00830C26">
              <w:rPr>
                <w:rFonts w:ascii="Times New Roman" w:eastAsia="標楷體" w:hAnsi="Times New Roman" w:cs="Times New Roman"/>
              </w:rPr>
              <w:t>Jardiance (BOEHRINGER INGELHEIM PHARMA GMBH &amp; CO.)</w:t>
            </w:r>
          </w:p>
          <w:p w:rsidR="00830C26" w:rsidRPr="00830C26" w:rsidRDefault="00830C26" w:rsidP="00830C26">
            <w:pPr>
              <w:rPr>
                <w:rFonts w:ascii="Times New Roman" w:eastAsia="標楷體" w:hAnsi="Times New Roman" w:cs="Times New Roman"/>
              </w:rPr>
            </w:pPr>
            <w:r w:rsidRPr="00830C26">
              <w:rPr>
                <w:rFonts w:ascii="標楷體" w:eastAsia="標楷體" w:hAnsi="標楷體" w:hint="eastAsia"/>
              </w:rPr>
              <w:t>成份：</w:t>
            </w:r>
            <w:r w:rsidRPr="00830C26">
              <w:rPr>
                <w:rFonts w:ascii="Times New Roman" w:eastAsia="標楷體" w:hAnsi="Times New Roman" w:cs="Times New Roman"/>
              </w:rPr>
              <w:t>Empagliflozin</w:t>
            </w:r>
          </w:p>
          <w:p w:rsidR="00830C26" w:rsidRPr="00830C26" w:rsidRDefault="00830C26" w:rsidP="00830C26">
            <w:pPr>
              <w:rPr>
                <w:rFonts w:ascii="標楷體" w:eastAsia="標楷體" w:hAnsi="標楷體"/>
              </w:rPr>
            </w:pPr>
            <w:r w:rsidRPr="00830C26">
              <w:rPr>
                <w:rFonts w:ascii="標楷體" w:eastAsia="標楷體" w:hAnsi="標楷體" w:hint="eastAsia"/>
              </w:rPr>
              <w:t>劑量：</w:t>
            </w:r>
            <w:r w:rsidRPr="00830C26">
              <w:rPr>
                <w:rFonts w:ascii="Times New Roman" w:eastAsia="標楷體" w:hAnsi="Times New Roman" w:cs="Times New Roman"/>
              </w:rPr>
              <w:t>10mg/tab</w:t>
            </w:r>
          </w:p>
          <w:p w:rsidR="00830C26" w:rsidRPr="00830C26" w:rsidRDefault="00830C26" w:rsidP="00830C26">
            <w:pPr>
              <w:rPr>
                <w:rFonts w:ascii="標楷體" w:eastAsia="標楷體" w:hAnsi="標楷體"/>
              </w:rPr>
            </w:pPr>
            <w:r w:rsidRPr="00830C26">
              <w:rPr>
                <w:rFonts w:ascii="標楷體" w:eastAsia="標楷體" w:hAnsi="標楷體" w:hint="eastAsia"/>
              </w:rPr>
              <w:t>適應症：(</w:t>
            </w:r>
            <w:r w:rsidRPr="00830C26">
              <w:rPr>
                <w:rFonts w:ascii="Times New Roman" w:eastAsia="標楷體" w:hAnsi="Times New Roman" w:cs="Times New Roman"/>
              </w:rPr>
              <w:t>1</w:t>
            </w:r>
            <w:r w:rsidRPr="00830C26">
              <w:rPr>
                <w:rFonts w:ascii="標楷體" w:eastAsia="標楷體" w:hAnsi="標楷體" w:hint="eastAsia"/>
              </w:rPr>
              <w:t>)血糖控制：第二型糖尿病。(</w:t>
            </w:r>
            <w:r w:rsidRPr="00830C26">
              <w:rPr>
                <w:rFonts w:ascii="Times New Roman" w:eastAsia="標楷體" w:hAnsi="Times New Roman" w:cs="Times New Roman"/>
              </w:rPr>
              <w:t>2</w:t>
            </w:r>
            <w:r w:rsidRPr="00830C26">
              <w:rPr>
                <w:rFonts w:ascii="標楷體" w:eastAsia="標楷體" w:hAnsi="標楷體" w:hint="eastAsia"/>
              </w:rPr>
              <w:t>)預防心血管事件：用於具第二型糖尿病且已有心血管疾病的成人病人時，</w:t>
            </w:r>
            <w:r w:rsidRPr="00830C26">
              <w:rPr>
                <w:rFonts w:ascii="Times New Roman" w:eastAsia="標楷體" w:hAnsi="Times New Roman" w:cs="Times New Roman"/>
              </w:rPr>
              <w:t>JARDIANCE</w:t>
            </w:r>
            <w:r w:rsidRPr="00830C26">
              <w:rPr>
                <w:rFonts w:ascii="標楷體" w:eastAsia="標楷體" w:hAnsi="標楷體" w:hint="eastAsia"/>
              </w:rPr>
              <w:t>可降低心血管原因死亡的風險。【使用上的限制】：</w:t>
            </w:r>
            <w:r w:rsidRPr="00830C26">
              <w:rPr>
                <w:rFonts w:ascii="Times New Roman" w:eastAsia="標楷體" w:hAnsi="Times New Roman" w:cs="Times New Roman"/>
              </w:rPr>
              <w:t>JARDIANCE</w:t>
            </w:r>
            <w:r w:rsidRPr="00830C26">
              <w:rPr>
                <w:rFonts w:ascii="標楷體" w:eastAsia="標楷體" w:hAnsi="標楷體" w:hint="eastAsia"/>
              </w:rPr>
              <w:t>不建議用於第一型糖尿病病人或用於治療糖尿病酮酸中毒。</w:t>
            </w:r>
          </w:p>
          <w:p w:rsidR="00830C26" w:rsidRPr="00830C26" w:rsidRDefault="00830C26" w:rsidP="00830C26">
            <w:pPr>
              <w:rPr>
                <w:rFonts w:ascii="標楷體" w:eastAsia="標楷體" w:hAnsi="標楷體"/>
              </w:rPr>
            </w:pPr>
            <w:r w:rsidRPr="00830C26">
              <w:rPr>
                <w:rFonts w:ascii="標楷體" w:eastAsia="標楷體" w:hAnsi="標楷體" w:hint="eastAsia"/>
              </w:rPr>
              <w:t>用法用量：每天早上一次，每次</w:t>
            </w:r>
            <w:r w:rsidRPr="00830C26">
              <w:rPr>
                <w:rFonts w:ascii="Times New Roman" w:eastAsia="標楷體" w:hAnsi="Times New Roman" w:cs="Times New Roman"/>
              </w:rPr>
              <w:t>10mg</w:t>
            </w:r>
            <w:r w:rsidRPr="00830C26">
              <w:rPr>
                <w:rFonts w:ascii="標楷體" w:eastAsia="標楷體" w:hAnsi="標楷體" w:hint="eastAsia"/>
              </w:rPr>
              <w:t>，可與食物一</w:t>
            </w:r>
            <w:r w:rsidRPr="00830C26">
              <w:rPr>
                <w:rFonts w:ascii="標楷體" w:eastAsia="標楷體" w:hAnsi="標楷體" w:hint="eastAsia"/>
              </w:rPr>
              <w:lastRenderedPageBreak/>
              <w:t>起服用，亦可空腹服用。當耐受性良好，劑量可提升至25</w:t>
            </w:r>
            <w:r w:rsidRPr="00830C26">
              <w:rPr>
                <w:rFonts w:ascii="Times New Roman" w:eastAsia="標楷體" w:hAnsi="Times New Roman" w:cs="Times New Roman"/>
              </w:rPr>
              <w:t>mg</w:t>
            </w:r>
            <w:r w:rsidRPr="00830C26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946" w:type="dxa"/>
          </w:tcPr>
          <w:p w:rsidR="00830C26" w:rsidRPr="00AA16D2" w:rsidRDefault="00830C26" w:rsidP="00154219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-105904</wp:posOffset>
                  </wp:positionH>
                  <wp:positionV relativeFrom="paragraph">
                    <wp:posOffset>49217</wp:posOffset>
                  </wp:positionV>
                  <wp:extent cx="2481580" cy="4512310"/>
                  <wp:effectExtent l="0" t="0" r="0" b="2540"/>
                  <wp:wrapNone/>
                  <wp:docPr id="5" name="圖片 5" descr="https://www.boehringer-ingelheim.tw/sites/tw/files/images/tw_file/jardian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boehringer-ingelheim.tw/sites/tw/files/images/tw_file/jardianc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1398"/>
                          <a:stretch/>
                        </pic:blipFill>
                        <pic:spPr bwMode="auto">
                          <a:xfrm>
                            <a:off x="0" y="0"/>
                            <a:ext cx="2481580" cy="451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66" w:type="dxa"/>
            <w:gridSpan w:val="2"/>
          </w:tcPr>
          <w:p w:rsidR="00830C26" w:rsidRPr="00AA16D2" w:rsidRDefault="00830C26" w:rsidP="00154219">
            <w:pPr>
              <w:jc w:val="center"/>
              <w:rPr>
                <w:rFonts w:ascii="標楷體" w:eastAsia="標楷體" w:hAnsi="標楷體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-12642</wp:posOffset>
                  </wp:positionH>
                  <wp:positionV relativeFrom="paragraph">
                    <wp:posOffset>84496</wp:posOffset>
                  </wp:positionV>
                  <wp:extent cx="2541600" cy="4512310"/>
                  <wp:effectExtent l="0" t="0" r="0" b="2540"/>
                  <wp:wrapNone/>
                  <wp:docPr id="6" name="圖片 6" descr="https://www.boehringer-ingelheim.tw/sites/tw/files/images/tw_file/jardian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boehringer-ingelheim.tw/sites/tw/files/images/tw_file/jardiance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230"/>
                          <a:stretch/>
                        </pic:blipFill>
                        <pic:spPr bwMode="auto">
                          <a:xfrm>
                            <a:off x="0" y="0"/>
                            <a:ext cx="2541600" cy="451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  <w:tr w:rsidR="00830C26" w:rsidRPr="00E24F1D" w:rsidTr="00830C26">
        <w:tc>
          <w:tcPr>
            <w:tcW w:w="2283" w:type="dxa"/>
          </w:tcPr>
          <w:p w:rsidR="00830C26" w:rsidRPr="0000549B" w:rsidRDefault="00830C26" w:rsidP="00154219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00549B">
              <w:rPr>
                <w:rFonts w:ascii="標楷體" w:eastAsia="標楷體" w:hAnsi="標楷體"/>
                <w:b/>
                <w:sz w:val="28"/>
                <w:szCs w:val="28"/>
              </w:rPr>
              <w:t>異動原因</w:t>
            </w:r>
          </w:p>
        </w:tc>
        <w:tc>
          <w:tcPr>
            <w:tcW w:w="3946" w:type="dxa"/>
          </w:tcPr>
          <w:p w:rsidR="00830C26" w:rsidRPr="00830C26" w:rsidRDefault="00830C26" w:rsidP="00154219">
            <w:pPr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830C26">
              <w:rPr>
                <w:rFonts w:ascii="標楷體" w:eastAsia="標楷體" w:hAnsi="標楷體" w:hint="eastAsia"/>
                <w:sz w:val="28"/>
                <w:szCs w:val="28"/>
              </w:rPr>
              <w:t>取代原有</w:t>
            </w:r>
            <w:r w:rsidRPr="00830C26">
              <w:rPr>
                <w:rFonts w:ascii="Times New Roman" w:hAnsi="Times New Roman" w:cs="Times New Roman"/>
                <w:sz w:val="28"/>
                <w:szCs w:val="28"/>
              </w:rPr>
              <w:t>JARDIANCE</w:t>
            </w:r>
            <w:r w:rsidRPr="00830C26">
              <w:rPr>
                <w:rFonts w:ascii="Times New Roman" w:hAnsi="Times New Roman" w:cs="Times New Roman"/>
                <w:sz w:val="28"/>
                <w:szCs w:val="28"/>
              </w:rPr>
              <w:t xml:space="preserve"> 25MG</w:t>
            </w:r>
          </w:p>
        </w:tc>
        <w:tc>
          <w:tcPr>
            <w:tcW w:w="4166" w:type="dxa"/>
            <w:gridSpan w:val="2"/>
          </w:tcPr>
          <w:p w:rsidR="00830C26" w:rsidRPr="00AA16D2" w:rsidRDefault="00830C26" w:rsidP="00154219">
            <w:pPr>
              <w:jc w:val="center"/>
              <w:rPr>
                <w:rFonts w:ascii="標楷體" w:eastAsia="標楷體" w:hAnsi="標楷體" w:hint="eastAsia"/>
              </w:rPr>
            </w:pPr>
          </w:p>
        </w:tc>
      </w:tr>
    </w:tbl>
    <w:p w:rsidR="00AB53CF" w:rsidRDefault="00AB53CF"/>
    <w:sectPr w:rsidR="00AB53CF" w:rsidSect="006C69B5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FE2" w:rsidRDefault="00A76FE2" w:rsidP="001C5400">
      <w:r>
        <w:separator/>
      </w:r>
    </w:p>
  </w:endnote>
  <w:endnote w:type="continuationSeparator" w:id="0">
    <w:p w:rsidR="00A76FE2" w:rsidRDefault="00A76FE2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FE2" w:rsidRDefault="00A76FE2" w:rsidP="001C5400">
      <w:r>
        <w:separator/>
      </w:r>
    </w:p>
  </w:footnote>
  <w:footnote w:type="continuationSeparator" w:id="0">
    <w:p w:rsidR="00A76FE2" w:rsidRDefault="00A76FE2" w:rsidP="001C54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A49D5"/>
    <w:rsid w:val="000C4F9F"/>
    <w:rsid w:val="001508C8"/>
    <w:rsid w:val="00154219"/>
    <w:rsid w:val="001C5400"/>
    <w:rsid w:val="00262832"/>
    <w:rsid w:val="002702A7"/>
    <w:rsid w:val="0030377F"/>
    <w:rsid w:val="00381CE6"/>
    <w:rsid w:val="00423077"/>
    <w:rsid w:val="004519E2"/>
    <w:rsid w:val="004B6F40"/>
    <w:rsid w:val="005A36FB"/>
    <w:rsid w:val="005D2131"/>
    <w:rsid w:val="006C69B5"/>
    <w:rsid w:val="00700334"/>
    <w:rsid w:val="00787B29"/>
    <w:rsid w:val="00796544"/>
    <w:rsid w:val="007A78BF"/>
    <w:rsid w:val="007D746D"/>
    <w:rsid w:val="007E7390"/>
    <w:rsid w:val="00830C26"/>
    <w:rsid w:val="008405E4"/>
    <w:rsid w:val="00872102"/>
    <w:rsid w:val="00932A84"/>
    <w:rsid w:val="009C6292"/>
    <w:rsid w:val="009E0D07"/>
    <w:rsid w:val="009F352D"/>
    <w:rsid w:val="00A33E3D"/>
    <w:rsid w:val="00A76FE2"/>
    <w:rsid w:val="00A84A1D"/>
    <w:rsid w:val="00A86B3D"/>
    <w:rsid w:val="00AA16D2"/>
    <w:rsid w:val="00AB47BC"/>
    <w:rsid w:val="00AB53CF"/>
    <w:rsid w:val="00AD220C"/>
    <w:rsid w:val="00AF5CF0"/>
    <w:rsid w:val="00B109C2"/>
    <w:rsid w:val="00B53D72"/>
    <w:rsid w:val="00BC1454"/>
    <w:rsid w:val="00BC5F30"/>
    <w:rsid w:val="00C312FA"/>
    <w:rsid w:val="00C42243"/>
    <w:rsid w:val="00E45227"/>
    <w:rsid w:val="00EE44E0"/>
    <w:rsid w:val="00F01939"/>
    <w:rsid w:val="00F14873"/>
    <w:rsid w:val="00F17A0E"/>
    <w:rsid w:val="00F4798C"/>
    <w:rsid w:val="00F566F4"/>
    <w:rsid w:val="00F608EB"/>
    <w:rsid w:val="00F776FE"/>
    <w:rsid w:val="00F9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6</cp:revision>
  <cp:lastPrinted>2022-08-31T07:52:00Z</cp:lastPrinted>
  <dcterms:created xsi:type="dcterms:W3CDTF">2022-09-01T02:34:00Z</dcterms:created>
  <dcterms:modified xsi:type="dcterms:W3CDTF">2022-09-26T00:47:00Z</dcterms:modified>
</cp:coreProperties>
</file>