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3AA0C4" w14:textId="44FB4E01" w:rsidR="000E4E2C" w:rsidRDefault="00880054" w:rsidP="000E4E2C">
      <w:pPr>
        <w:jc w:val="center"/>
        <w:rPr>
          <w:rFonts w:eastAsia="標楷體" w:cs="Times New Roman"/>
          <w:color w:val="3366FF"/>
          <w:sz w:val="96"/>
          <w:szCs w:val="96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7E2A1AEF" wp14:editId="2040AFA9">
            <wp:simplePos x="0" y="0"/>
            <wp:positionH relativeFrom="column">
              <wp:posOffset>36662</wp:posOffset>
            </wp:positionH>
            <wp:positionV relativeFrom="paragraph">
              <wp:posOffset>286828</wp:posOffset>
            </wp:positionV>
            <wp:extent cx="1143000" cy="874395"/>
            <wp:effectExtent l="19050" t="0" r="0" b="0"/>
            <wp:wrapNone/>
            <wp:docPr id="5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8743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363CDF" wp14:editId="1F5DB9D0">
                <wp:simplePos x="0" y="0"/>
                <wp:positionH relativeFrom="margin">
                  <wp:align>right</wp:align>
                </wp:positionH>
                <wp:positionV relativeFrom="paragraph">
                  <wp:posOffset>267131</wp:posOffset>
                </wp:positionV>
                <wp:extent cx="1417320" cy="970280"/>
                <wp:effectExtent l="0" t="0" r="11430" b="20320"/>
                <wp:wrapNone/>
                <wp:docPr id="7" name="文字方塊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7320" cy="970280"/>
                        </a:xfrm>
                        <a:prstGeom prst="rect">
                          <a:avLst/>
                        </a:prstGeom>
                        <a:solidFill>
                          <a:srgbClr val="99CC00"/>
                        </a:solidFill>
                        <a:ln w="9525">
                          <a:solidFill>
                            <a:srgbClr val="99CC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FD3658" w14:textId="77777777" w:rsidR="000E4E2C" w:rsidRPr="00D973EE" w:rsidRDefault="000E4E2C" w:rsidP="000E4E2C">
                            <w:pPr>
                              <w:rPr>
                                <w:rFonts w:eastAsia="標楷體" w:cs="Times New Roman"/>
                              </w:rPr>
                            </w:pPr>
                            <w:r w:rsidRPr="00D973EE">
                              <w:rPr>
                                <w:rFonts w:eastAsia="標楷體" w:hAnsi="標楷體" w:cs="標楷體" w:hint="eastAsia"/>
                              </w:rPr>
                              <w:t>出版單位：藥劑科</w:t>
                            </w:r>
                          </w:p>
                          <w:p w14:paraId="791AACAD" w14:textId="77777777" w:rsidR="000E4E2C" w:rsidRPr="00D973EE" w:rsidRDefault="000E4E2C" w:rsidP="000E4E2C">
                            <w:pPr>
                              <w:rPr>
                                <w:rFonts w:eastAsia="標楷體" w:cs="Times New Roman"/>
                              </w:rPr>
                            </w:pPr>
                            <w:r w:rsidRPr="00D973EE">
                              <w:rPr>
                                <w:rFonts w:eastAsia="標楷體" w:hAnsi="標楷體" w:cs="標楷體" w:hint="eastAsia"/>
                              </w:rPr>
                              <w:t>聯絡電話：</w:t>
                            </w:r>
                          </w:p>
                          <w:p w14:paraId="0F5F5978" w14:textId="77777777" w:rsidR="000E4E2C" w:rsidRPr="00D973EE" w:rsidRDefault="000E4E2C" w:rsidP="000E4E2C">
                            <w:pPr>
                              <w:rPr>
                                <w:rFonts w:eastAsia="標楷體" w:cs="Times New Roman"/>
                              </w:rPr>
                            </w:pPr>
                            <w:r>
                              <w:rPr>
                                <w:rFonts w:eastAsia="標楷體"/>
                              </w:rPr>
                              <w:t>4629292</w:t>
                            </w:r>
                            <w:r w:rsidRPr="00D973EE">
                              <w:rPr>
                                <w:rFonts w:eastAsia="標楷體"/>
                              </w:rPr>
                              <w:t>-</w:t>
                            </w:r>
                            <w:r>
                              <w:rPr>
                                <w:rFonts w:eastAsia="標楷體"/>
                              </w:rPr>
                              <w:t>22525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1363CDF" id="_x0000_t202" coordsize="21600,21600" o:spt="202" path="m,l,21600r21600,l21600,xe">
                <v:stroke joinstyle="miter"/>
                <v:path gradientshapeok="t" o:connecttype="rect"/>
              </v:shapetype>
              <v:shape id="文字方塊 9" o:spid="_x0000_s1026" type="#_x0000_t202" style="position:absolute;left:0;text-align:left;margin-left:60.4pt;margin-top:21.05pt;width:111.6pt;height:76.4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" fillcolor="#9c0" strokecolor="#9c0">
                <v:textbox>
                  <w:txbxContent>
                    <w:p w14:paraId="5CFD3658" w14:textId="77777777" w:rsidR="000E4E2C" w:rsidRPr="00D973EE" w:rsidRDefault="000E4E2C" w:rsidP="000E4E2C">
                      <w:pPr>
                        <w:rPr>
                          <w:rFonts w:eastAsia="標楷體" w:cs="Times New Roman"/>
                        </w:rPr>
                      </w:pPr>
                      <w:r w:rsidRPr="00D973EE">
                        <w:rPr>
                          <w:rFonts w:eastAsia="標楷體" w:hAnsi="標楷體" w:cs="標楷體" w:hint="eastAsia"/>
                        </w:rPr>
                        <w:t>出版單位：藥劑科</w:t>
                      </w:r>
                    </w:p>
                    <w:p w14:paraId="791AACAD" w14:textId="77777777" w:rsidR="000E4E2C" w:rsidRPr="00D973EE" w:rsidRDefault="000E4E2C" w:rsidP="000E4E2C">
                      <w:pPr>
                        <w:rPr>
                          <w:rFonts w:eastAsia="標楷體" w:cs="Times New Roman"/>
                        </w:rPr>
                      </w:pPr>
                      <w:r w:rsidRPr="00D973EE">
                        <w:rPr>
                          <w:rFonts w:eastAsia="標楷體" w:hAnsi="標楷體" w:cs="標楷體" w:hint="eastAsia"/>
                        </w:rPr>
                        <w:t>聯絡電話：</w:t>
                      </w:r>
                    </w:p>
                    <w:p w14:paraId="0F5F5978" w14:textId="77777777" w:rsidR="000E4E2C" w:rsidRPr="00D973EE" w:rsidRDefault="000E4E2C" w:rsidP="000E4E2C">
                      <w:pPr>
                        <w:rPr>
                          <w:rFonts w:eastAsia="標楷體" w:cs="Times New Roman"/>
                        </w:rPr>
                      </w:pPr>
                      <w:r>
                        <w:rPr>
                          <w:rFonts w:eastAsia="標楷體"/>
                        </w:rPr>
                        <w:t>4629292</w:t>
                      </w:r>
                      <w:r w:rsidRPr="00D973EE">
                        <w:rPr>
                          <w:rFonts w:eastAsia="標楷體"/>
                        </w:rPr>
                        <w:t>-</w:t>
                      </w:r>
                      <w:r>
                        <w:rPr>
                          <w:rFonts w:eastAsia="標楷體"/>
                        </w:rPr>
                        <w:t>22525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42B77065" wp14:editId="1BDDDCAF">
                <wp:simplePos x="0" y="0"/>
                <wp:positionH relativeFrom="margin">
                  <wp:align>left</wp:align>
                </wp:positionH>
                <wp:positionV relativeFrom="paragraph">
                  <wp:posOffset>250166</wp:posOffset>
                </wp:positionV>
                <wp:extent cx="5257800" cy="1371600"/>
                <wp:effectExtent l="0" t="0" r="0" b="0"/>
                <wp:wrapNone/>
                <wp:docPr id="4" name="矩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57800" cy="1371600"/>
                        </a:xfrm>
                        <a:prstGeom prst="rect">
                          <a:avLst/>
                        </a:prstGeom>
                        <a:solidFill>
                          <a:srgbClr val="FFFF99">
                            <a:alpha val="50195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414E65" id="矩形 7" o:spid="_x0000_s1026" style="position:absolute;margin-left:0;margin-top:19.7pt;width:414pt;height:108pt;z-index:-2516541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" fillcolor="#ff9" stroked="f">
                <v:fill opacity="32896f"/>
                <w10:wrap anchorx="margin"/>
              </v:rect>
            </w:pict>
          </mc:Fallback>
        </mc:AlternateContent>
      </w:r>
      <w:r w:rsidR="000E4E2C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8070E9F" wp14:editId="77EC5E5E">
                <wp:simplePos x="0" y="0"/>
                <wp:positionH relativeFrom="column">
                  <wp:posOffset>1363345</wp:posOffset>
                </wp:positionH>
                <wp:positionV relativeFrom="paragraph">
                  <wp:posOffset>800100</wp:posOffset>
                </wp:positionV>
                <wp:extent cx="2857500" cy="571500"/>
                <wp:effectExtent l="0" t="0" r="0" b="0"/>
                <wp:wrapNone/>
                <wp:docPr id="6" name="文字方塊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CC77B1" w14:textId="77777777" w:rsidR="000E4E2C" w:rsidRPr="007B33FB" w:rsidRDefault="000E4E2C" w:rsidP="000E4E2C">
                            <w:pPr>
                              <w:spacing w:line="320" w:lineRule="exact"/>
                              <w:rPr>
                                <w:rFonts w:eastAsia="標楷體"/>
                                <w:sz w:val="36"/>
                                <w:szCs w:val="36"/>
                              </w:rPr>
                            </w:pPr>
                            <w:r w:rsidRPr="007B33FB">
                              <w:rPr>
                                <w:rFonts w:eastAsia="標楷體"/>
                                <w:sz w:val="36"/>
                                <w:szCs w:val="36"/>
                              </w:rPr>
                              <w:t>Ten-Chan Medical group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070E9F" id="文字方塊 10" o:spid="_x0000_s1027" type="#_x0000_t202" style="position:absolute;left:0;text-align:left;margin-left:107.35pt;margin-top:63pt;width:225pt;height: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" filled="f" stroked="f">
                <v:textbox>
                  <w:txbxContent>
                    <w:p w14:paraId="60CC77B1" w14:textId="77777777" w:rsidR="000E4E2C" w:rsidRPr="007B33FB" w:rsidRDefault="000E4E2C" w:rsidP="000E4E2C">
                      <w:pPr>
                        <w:spacing w:line="320" w:lineRule="exact"/>
                        <w:rPr>
                          <w:rFonts w:eastAsia="標楷體"/>
                          <w:sz w:val="36"/>
                          <w:szCs w:val="36"/>
                        </w:rPr>
                      </w:pPr>
                      <w:r w:rsidRPr="007B33FB">
                        <w:rPr>
                          <w:rFonts w:eastAsia="標楷體"/>
                          <w:sz w:val="36"/>
                          <w:szCs w:val="36"/>
                        </w:rPr>
                        <w:t>Ten-Chan Medical group</w:t>
                      </w:r>
                    </w:p>
                  </w:txbxContent>
                </v:textbox>
              </v:shape>
            </w:pict>
          </mc:Fallback>
        </mc:AlternateContent>
      </w:r>
      <w:r w:rsidR="000E4E2C">
        <w:rPr>
          <w:rFonts w:eastAsia="標楷體" w:cs="標楷體" w:hint="eastAsia"/>
          <w:color w:val="3366FF"/>
          <w:sz w:val="96"/>
          <w:szCs w:val="96"/>
        </w:rPr>
        <w:t>藥訊</w:t>
      </w:r>
    </w:p>
    <w:p w14:paraId="1719C1E6" w14:textId="77777777" w:rsidR="000E4E2C" w:rsidRDefault="000E4E2C" w:rsidP="00327E7C">
      <w:pPr>
        <w:jc w:val="center"/>
        <w:rPr>
          <w:rFonts w:ascii="標楷體" w:eastAsia="標楷體" w:hAnsi="標楷體"/>
          <w:b/>
          <w:bCs/>
          <w:color w:val="FF0000"/>
        </w:rPr>
      </w:pPr>
    </w:p>
    <w:p w14:paraId="52304B54" w14:textId="600E5529" w:rsidR="000E4E2C" w:rsidRPr="00880054" w:rsidRDefault="00880054" w:rsidP="00880054">
      <w:pPr>
        <w:jc w:val="right"/>
        <w:rPr>
          <w:rFonts w:eastAsia="標楷體"/>
          <w:b/>
          <w:bCs/>
          <w:color w:val="7030A0"/>
          <w:sz w:val="28"/>
          <w:szCs w:val="28"/>
        </w:rPr>
      </w:pPr>
      <w:r>
        <w:rPr>
          <w:rFonts w:ascii="標楷體" w:eastAsia="標楷體" w:hAnsi="標楷體"/>
          <w:b/>
          <w:bCs/>
          <w:color w:val="FF0000"/>
        </w:rPr>
        <w:tab/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281A471C" wp14:editId="1326CDA6">
                <wp:simplePos x="0" y="0"/>
                <wp:positionH relativeFrom="column">
                  <wp:posOffset>228600</wp:posOffset>
                </wp:positionH>
                <wp:positionV relativeFrom="paragraph">
                  <wp:posOffset>0</wp:posOffset>
                </wp:positionV>
                <wp:extent cx="2971800" cy="457200"/>
                <wp:effectExtent l="0" t="0" r="0" b="0"/>
                <wp:wrapNone/>
                <wp:docPr id="3" name="文字方塊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3CF947" w14:textId="77777777" w:rsidR="00880054" w:rsidRDefault="00880054" w:rsidP="00880054">
                            <w:pPr>
                              <w:rPr>
                                <w:rFonts w:eastAsia="標楷體" w:cs="Times New Roman"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標楷體" w:cs="標楷體" w:hint="eastAsia"/>
                                <w:color w:val="FF0000"/>
                                <w:sz w:val="28"/>
                                <w:szCs w:val="28"/>
                              </w:rPr>
                              <w:t>健康、真愛、天成心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1A471C" id="文字方塊 6" o:spid="_x0000_s1028" type="#_x0000_t202" style="position:absolute;left:0;text-align:left;margin-left:18pt;margin-top:0;width:234pt;height:36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" filled="f" stroked="f">
                <v:textbox>
                  <w:txbxContent>
                    <w:p w14:paraId="713CF947" w14:textId="77777777" w:rsidR="00880054" w:rsidRDefault="00880054" w:rsidP="00880054">
                      <w:pPr>
                        <w:rPr>
                          <w:rFonts w:eastAsia="標楷體" w:cs="Times New Roman"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eastAsia="標楷體" w:cs="標楷體" w:hint="eastAsia"/>
                          <w:color w:val="FF0000"/>
                          <w:sz w:val="28"/>
                          <w:szCs w:val="28"/>
                        </w:rPr>
                        <w:t>健康、真愛、天成心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標楷體" w:cs="標楷體" w:hint="eastAsia"/>
          <w:color w:val="FF0000"/>
          <w:sz w:val="40"/>
          <w:szCs w:val="40"/>
        </w:rPr>
        <w:t>期別</w:t>
      </w:r>
      <w:r w:rsidRPr="005A5E7E">
        <w:rPr>
          <w:rFonts w:eastAsia="標楷體"/>
          <w:b/>
          <w:bCs/>
          <w:color w:val="7030A0"/>
          <w:sz w:val="28"/>
          <w:szCs w:val="28"/>
        </w:rPr>
        <w:t>No.</w:t>
      </w:r>
      <w:r>
        <w:rPr>
          <w:rFonts w:eastAsia="標楷體" w:hint="eastAsia"/>
          <w:b/>
          <w:bCs/>
          <w:color w:val="7030A0"/>
          <w:sz w:val="28"/>
          <w:szCs w:val="28"/>
        </w:rPr>
        <w:t>1</w:t>
      </w:r>
      <w:r w:rsidR="00C840D5">
        <w:rPr>
          <w:rFonts w:eastAsia="標楷體"/>
          <w:b/>
          <w:bCs/>
          <w:color w:val="7030A0"/>
          <w:sz w:val="28"/>
          <w:szCs w:val="28"/>
        </w:rPr>
        <w:t>11</w:t>
      </w:r>
      <w:r w:rsidR="00C840D5">
        <w:rPr>
          <w:rFonts w:eastAsia="標楷體" w:hint="eastAsia"/>
          <w:b/>
          <w:bCs/>
          <w:color w:val="7030A0"/>
          <w:sz w:val="28"/>
          <w:szCs w:val="28"/>
        </w:rPr>
        <w:t>10</w:t>
      </w:r>
    </w:p>
    <w:p w14:paraId="7DC19381" w14:textId="77777777" w:rsidR="00880054" w:rsidRDefault="00880054" w:rsidP="00327E7C">
      <w:pPr>
        <w:jc w:val="center"/>
        <w:rPr>
          <w:rFonts w:ascii="標楷體" w:eastAsia="標楷體" w:hAnsi="標楷體"/>
          <w:b/>
          <w:bCs/>
          <w:color w:val="FF0000"/>
        </w:rPr>
      </w:pPr>
    </w:p>
    <w:p w14:paraId="3A5F7709" w14:textId="77777777" w:rsidR="00C840D5" w:rsidRPr="00C840D5" w:rsidRDefault="00C840D5" w:rsidP="00827BC1">
      <w:pPr>
        <w:jc w:val="center"/>
        <w:rPr>
          <w:rFonts w:ascii="AdobeFanHeitiStd-Bold" w:eastAsia="AdobeFanHeitiStd-Bold" w:cs="AdobeFanHeitiStd-Bold"/>
          <w:b/>
          <w:bCs/>
          <w:color w:val="FF0000"/>
          <w:kern w:val="0"/>
          <w:sz w:val="36"/>
          <w:szCs w:val="28"/>
        </w:rPr>
      </w:pPr>
      <w:r w:rsidRPr="00C840D5">
        <w:rPr>
          <w:rFonts w:ascii="Times New Roman" w:eastAsia="DFKaiShu-SB-Estd-BF" w:hAnsi="Times New Roman" w:cs="Times New Roman"/>
          <w:color w:val="FF0000"/>
          <w:kern w:val="0"/>
          <w:sz w:val="36"/>
          <w:szCs w:val="28"/>
        </w:rPr>
        <w:t>Risedronate sodium</w:t>
      </w:r>
      <w:r w:rsidRPr="00C840D5">
        <w:rPr>
          <w:rFonts w:ascii="Times New Roman" w:hAnsi="Times New Roman" w:cs="Times New Roman" w:hint="eastAsia"/>
          <w:color w:val="FF0000"/>
          <w:sz w:val="36"/>
          <w:szCs w:val="28"/>
        </w:rPr>
        <w:t xml:space="preserve"> (</w:t>
      </w:r>
      <w:r w:rsidRPr="00C840D5">
        <w:rPr>
          <w:rFonts w:ascii="Times New Roman" w:eastAsia="DFKaiShu-SB-Estd-BF" w:hAnsi="Times New Roman" w:cs="Times New Roman"/>
          <w:color w:val="FF0000"/>
          <w:kern w:val="0"/>
          <w:sz w:val="36"/>
          <w:szCs w:val="28"/>
        </w:rPr>
        <w:t>Reosteo</w:t>
      </w:r>
      <w:r w:rsidRPr="00C840D5">
        <w:rPr>
          <w:rFonts w:ascii="Times New Roman" w:eastAsia="DFKaiShu-SB-Estd-BF" w:hAnsi="Times New Roman" w:cs="Times New Roman"/>
          <w:color w:val="FF0000"/>
          <w:kern w:val="0"/>
          <w:sz w:val="36"/>
          <w:szCs w:val="28"/>
          <w:vertAlign w:val="superscript"/>
        </w:rPr>
        <w:t>®</w:t>
      </w:r>
      <w:r w:rsidRPr="00C840D5">
        <w:rPr>
          <w:rFonts w:asciiTheme="minorEastAsia" w:hAnsiTheme="minorEastAsia" w:cs="Times New Roman" w:hint="eastAsia"/>
          <w:color w:val="FF0000"/>
          <w:kern w:val="0"/>
          <w:sz w:val="32"/>
          <w:szCs w:val="24"/>
        </w:rPr>
        <w:t xml:space="preserve"> </w:t>
      </w:r>
      <w:r w:rsidRPr="00C840D5">
        <w:rPr>
          <w:rFonts w:ascii="標楷體" w:eastAsia="標楷體" w:hAnsi="標楷體" w:cs="AdobeFanHeitiStd-Bold" w:hint="eastAsia"/>
          <w:b/>
          <w:bCs/>
          <w:color w:val="FF0000"/>
          <w:kern w:val="0"/>
          <w:sz w:val="36"/>
          <w:szCs w:val="28"/>
        </w:rPr>
        <w:t>瑞骨卓</w:t>
      </w:r>
      <w:r w:rsidRPr="00C840D5">
        <w:rPr>
          <w:rFonts w:ascii="標楷體" w:eastAsia="標楷體" w:hAnsi="標楷體" w:cs="DFKaiShu-SB-Estd-BF" w:hint="eastAsia"/>
          <w:color w:val="FF0000"/>
          <w:kern w:val="0"/>
          <w:sz w:val="32"/>
          <w:szCs w:val="24"/>
        </w:rPr>
        <w:t>®</w:t>
      </w:r>
      <w:r w:rsidRPr="00C840D5">
        <w:rPr>
          <w:rFonts w:ascii="標楷體" w:eastAsia="標楷體" w:hAnsi="標楷體" w:cs="DFKaiShu-SB-Estd-BF"/>
          <w:color w:val="FF0000"/>
          <w:kern w:val="0"/>
          <w:sz w:val="32"/>
          <w:szCs w:val="24"/>
        </w:rPr>
        <w:t xml:space="preserve"> </w:t>
      </w:r>
      <w:r w:rsidRPr="00C840D5">
        <w:rPr>
          <w:rFonts w:ascii="標楷體" w:eastAsia="標楷體" w:hAnsi="標楷體" w:cs="AdobeFanHeitiStd-Bold" w:hint="eastAsia"/>
          <w:b/>
          <w:bCs/>
          <w:color w:val="FF0000"/>
          <w:kern w:val="0"/>
          <w:sz w:val="36"/>
          <w:szCs w:val="28"/>
        </w:rPr>
        <w:t>膜衣錠</w:t>
      </w:r>
      <w:r w:rsidRPr="00C840D5">
        <w:rPr>
          <w:rFonts w:ascii="AdobeFanHeitiStd-Bold" w:eastAsia="AdobeFanHeitiStd-Bold" w:cs="AdobeFanHeitiStd-Bold" w:hint="eastAsia"/>
          <w:b/>
          <w:bCs/>
          <w:color w:val="FF0000"/>
          <w:kern w:val="0"/>
          <w:sz w:val="36"/>
          <w:szCs w:val="28"/>
        </w:rPr>
        <w:t>)</w:t>
      </w:r>
    </w:p>
    <w:p w14:paraId="3B2B222C" w14:textId="6E527DDA" w:rsidR="00327E7C" w:rsidRPr="00A94656" w:rsidRDefault="00C840D5" w:rsidP="00827BC1">
      <w:pPr>
        <w:jc w:val="center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莊再林 </w:t>
      </w:r>
      <w:r w:rsidR="00A94656" w:rsidRPr="00C840D5">
        <w:rPr>
          <w:rFonts w:ascii="標楷體" w:eastAsia="標楷體" w:hAnsi="標楷體" w:hint="eastAsia"/>
          <w:szCs w:val="24"/>
        </w:rPr>
        <w:t>藥師</w:t>
      </w:r>
    </w:p>
    <w:p w14:paraId="530CDDC2" w14:textId="67EED9A8" w:rsidR="00A94656" w:rsidRPr="00C840D5" w:rsidRDefault="00C840D5" w:rsidP="00C840D5">
      <w:pPr>
        <w:pStyle w:val="Default"/>
        <w:numPr>
          <w:ilvl w:val="0"/>
          <w:numId w:val="11"/>
        </w:numPr>
        <w:rPr>
          <w:rFonts w:hint="eastAsia"/>
          <w:color w:val="FF0000"/>
          <w:sz w:val="28"/>
          <w:szCs w:val="28"/>
        </w:rPr>
      </w:pPr>
      <w:r w:rsidRPr="00C840D5">
        <w:rPr>
          <w:rFonts w:hint="eastAsia"/>
          <w:color w:val="FF0000"/>
          <w:sz w:val="28"/>
          <w:szCs w:val="28"/>
        </w:rPr>
        <w:t>治療適應症</w:t>
      </w:r>
    </w:p>
    <w:p w14:paraId="56336DD1" w14:textId="77777777" w:rsidR="00C840D5" w:rsidRPr="00135DF6" w:rsidRDefault="00C840D5" w:rsidP="00C840D5">
      <w:pPr>
        <w:pStyle w:val="a4"/>
        <w:numPr>
          <w:ilvl w:val="0"/>
          <w:numId w:val="16"/>
        </w:numPr>
        <w:autoSpaceDE w:val="0"/>
        <w:autoSpaceDN w:val="0"/>
        <w:adjustRightInd w:val="0"/>
        <w:ind w:leftChars="0"/>
        <w:rPr>
          <w:rFonts w:ascii="DFKaiShu-SB-Estd-BF" w:cs="DFKaiShu-SB-Estd-BF"/>
          <w:kern w:val="0"/>
          <w:sz w:val="28"/>
          <w:szCs w:val="28"/>
        </w:rPr>
      </w:pPr>
      <w:r w:rsidRPr="00135DF6">
        <w:rPr>
          <w:rFonts w:ascii="標楷體" w:eastAsia="標楷體" w:hAnsi="標楷體" w:cs="DFKaiShu-SB-Estd-BF" w:hint="eastAsia"/>
          <w:kern w:val="0"/>
          <w:sz w:val="28"/>
          <w:szCs w:val="28"/>
        </w:rPr>
        <w:t>治療及預防停經後婦女之骨質疏鬆症。治療有高度骨折風險</w:t>
      </w:r>
      <w:r w:rsidRPr="00135DF6">
        <w:rPr>
          <w:rFonts w:ascii="標楷體" w:eastAsia="標楷體" w:hAnsi="標楷體" w:cs="DFKaiShu-SB-Estd-BF"/>
          <w:kern w:val="0"/>
          <w:sz w:val="28"/>
          <w:szCs w:val="28"/>
        </w:rPr>
        <w:t>(</w:t>
      </w:r>
      <w:r w:rsidRPr="00135DF6">
        <w:rPr>
          <w:rFonts w:ascii="標楷體" w:eastAsia="標楷體" w:hAnsi="標楷體" w:cs="DFKaiShu-SB-Estd-BF" w:hint="eastAsia"/>
          <w:kern w:val="0"/>
          <w:sz w:val="28"/>
          <w:szCs w:val="28"/>
        </w:rPr>
        <w:t>定義為有骨質疏鬆症骨折病史，或具有多項骨折危險因子</w:t>
      </w:r>
      <w:r w:rsidRPr="00135DF6">
        <w:rPr>
          <w:rFonts w:ascii="標楷體" w:eastAsia="標楷體" w:hAnsi="標楷體" w:cs="DFKaiShu-SB-Estd-BF"/>
          <w:kern w:val="0"/>
          <w:sz w:val="28"/>
          <w:szCs w:val="28"/>
        </w:rPr>
        <w:t>)</w:t>
      </w:r>
      <w:r w:rsidRPr="00135DF6">
        <w:rPr>
          <w:rFonts w:ascii="標楷體" w:eastAsia="標楷體" w:hAnsi="標楷體" w:cs="DFKaiShu-SB-Estd-BF" w:hint="eastAsia"/>
          <w:kern w:val="0"/>
          <w:sz w:val="28"/>
          <w:szCs w:val="28"/>
        </w:rPr>
        <w:t>之骨質疏鬆症男性患者，以增加骨量</w:t>
      </w:r>
      <w:r w:rsidRPr="00135DF6">
        <w:rPr>
          <w:rFonts w:ascii="Times New Roman" w:eastAsia="DFKaiShu-SB-Estd-BF" w:hAnsi="Times New Roman" w:cs="Times New Roman"/>
          <w:kern w:val="0"/>
          <w:sz w:val="28"/>
          <w:szCs w:val="28"/>
        </w:rPr>
        <w:t>(Bone</w:t>
      </w:r>
      <w:r w:rsidRPr="00135DF6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Pr="00135DF6">
        <w:rPr>
          <w:rFonts w:ascii="Times New Roman" w:eastAsia="DFKaiShu-SB-Estd-BF" w:hAnsi="Times New Roman" w:cs="Times New Roman"/>
          <w:kern w:val="0"/>
          <w:sz w:val="28"/>
          <w:szCs w:val="28"/>
        </w:rPr>
        <w:t>Mass)</w:t>
      </w:r>
      <w:r w:rsidRPr="00135DF6">
        <w:rPr>
          <w:rFonts w:ascii="DFKaiShu-SB-Estd-BF" w:eastAsia="DFKaiShu-SB-Estd-BF" w:cs="DFKaiShu-SB-Estd-BF" w:hint="eastAsia"/>
          <w:kern w:val="0"/>
          <w:sz w:val="28"/>
          <w:szCs w:val="28"/>
        </w:rPr>
        <w:t>。</w:t>
      </w:r>
    </w:p>
    <w:p w14:paraId="0E08DAA6" w14:textId="77777777" w:rsidR="00C840D5" w:rsidRPr="00135DF6" w:rsidRDefault="00C840D5" w:rsidP="00C840D5">
      <w:pPr>
        <w:pStyle w:val="a4"/>
        <w:numPr>
          <w:ilvl w:val="0"/>
          <w:numId w:val="16"/>
        </w:numPr>
        <w:autoSpaceDE w:val="0"/>
        <w:autoSpaceDN w:val="0"/>
        <w:adjustRightInd w:val="0"/>
        <w:ind w:leftChars="0"/>
        <w:rPr>
          <w:rFonts w:ascii="標楷體" w:eastAsia="標楷體" w:hAnsi="標楷體" w:cs="Times New Roman"/>
          <w:kern w:val="0"/>
          <w:sz w:val="28"/>
          <w:szCs w:val="28"/>
        </w:rPr>
      </w:pPr>
      <w:r w:rsidRPr="00135DF6">
        <w:rPr>
          <w:rFonts w:ascii="標楷體" w:eastAsia="標楷體" w:hAnsi="標楷體" w:cs="Times New Roman"/>
          <w:kern w:val="0"/>
          <w:sz w:val="28"/>
          <w:szCs w:val="28"/>
        </w:rPr>
        <w:t>骨質疏鬆症的認定可由患者的骨質疏鬆性骨折或病史，或是低骨量（例如低於停經前平均值</w:t>
      </w:r>
      <w:r w:rsidRPr="00135DF6">
        <w:rPr>
          <w:rFonts w:ascii="Times New Roman" w:eastAsia="標楷體" w:hAnsi="Times New Roman" w:cs="Times New Roman"/>
          <w:kern w:val="0"/>
          <w:sz w:val="28"/>
          <w:szCs w:val="28"/>
        </w:rPr>
        <w:t>2SD</w:t>
      </w:r>
      <w:r w:rsidRPr="00135DF6">
        <w:rPr>
          <w:rFonts w:ascii="標楷體" w:eastAsia="標楷體" w:hAnsi="標楷體" w:cs="Times New Roman"/>
          <w:kern w:val="0"/>
          <w:sz w:val="28"/>
          <w:szCs w:val="28"/>
        </w:rPr>
        <w:t>以上）來作診斷。</w:t>
      </w:r>
    </w:p>
    <w:p w14:paraId="780CAC7C" w14:textId="3DD60809" w:rsidR="00C840D5" w:rsidRPr="00C840D5" w:rsidRDefault="00C840D5" w:rsidP="00C840D5">
      <w:pPr>
        <w:pStyle w:val="Default"/>
        <w:rPr>
          <w:color w:val="FF0000"/>
          <w:sz w:val="28"/>
          <w:szCs w:val="28"/>
        </w:rPr>
      </w:pPr>
      <w:r w:rsidRPr="00C840D5">
        <w:rPr>
          <w:rFonts w:hint="eastAsia"/>
          <w:color w:val="FF0000"/>
          <w:sz w:val="28"/>
          <w:szCs w:val="28"/>
        </w:rPr>
        <w:t>二</w:t>
      </w:r>
      <w:r w:rsidRPr="00C840D5">
        <w:rPr>
          <w:rFonts w:ascii="新細明體" w:eastAsia="新細明體" w:hAnsi="新細明體" w:hint="eastAsia"/>
          <w:color w:val="FF0000"/>
          <w:sz w:val="28"/>
          <w:szCs w:val="28"/>
        </w:rPr>
        <w:t xml:space="preserve">、  </w:t>
      </w:r>
      <w:r w:rsidRPr="00C840D5">
        <w:rPr>
          <w:rFonts w:hint="eastAsia"/>
          <w:color w:val="FF0000"/>
          <w:sz w:val="28"/>
          <w:szCs w:val="28"/>
        </w:rPr>
        <w:t>作用機轉</w:t>
      </w:r>
    </w:p>
    <w:p w14:paraId="0DE1C0B4" w14:textId="302C1D97" w:rsidR="00C840D5" w:rsidRPr="00B1071A" w:rsidRDefault="00C840D5" w:rsidP="00C840D5">
      <w:pPr>
        <w:autoSpaceDE w:val="0"/>
        <w:autoSpaceDN w:val="0"/>
        <w:adjustRightInd w:val="0"/>
        <w:ind w:leftChars="413" w:left="991"/>
        <w:rPr>
          <w:rFonts w:ascii="標楷體" w:eastAsia="標楷體" w:hAnsi="標楷體" w:cs="DFKaiShu-SB-Estd-BF"/>
          <w:kern w:val="0"/>
          <w:sz w:val="28"/>
          <w:szCs w:val="28"/>
        </w:rPr>
      </w:pPr>
      <w:r w:rsidRPr="00B1071A">
        <w:rPr>
          <w:rFonts w:ascii="Times New Roman" w:eastAsia="DFKaiShu-SB-Estd-BF" w:hAnsi="Times New Roman" w:cs="Times New Roman"/>
          <w:kern w:val="0"/>
          <w:sz w:val="28"/>
          <w:szCs w:val="28"/>
        </w:rPr>
        <w:t>Risedronate Tablet</w:t>
      </w:r>
      <w:r w:rsidRPr="00B1071A">
        <w:rPr>
          <w:rFonts w:ascii="標楷體" w:eastAsia="標楷體" w:hAnsi="標楷體" w:cs="DFKaiShu-SB-Estd-BF" w:hint="eastAsia"/>
          <w:kern w:val="0"/>
          <w:sz w:val="28"/>
          <w:szCs w:val="28"/>
        </w:rPr>
        <w:t>對骨質中</w:t>
      </w:r>
      <w:r w:rsidRPr="00B1071A">
        <w:rPr>
          <w:rFonts w:ascii="DFKaiShu-SB-Estd-BF" w:eastAsia="DFKaiShu-SB-Estd-BF" w:cs="DFKaiShu-SB-Estd-BF" w:hint="eastAsia"/>
          <w:kern w:val="0"/>
          <w:sz w:val="28"/>
          <w:szCs w:val="28"/>
        </w:rPr>
        <w:t>的</w:t>
      </w:r>
      <w:r w:rsidRPr="00B1071A">
        <w:rPr>
          <w:rFonts w:ascii="Times New Roman" w:eastAsia="DFKaiShu-SB-Estd-BF" w:hAnsi="Times New Roman" w:cs="Times New Roman"/>
          <w:kern w:val="0"/>
          <w:sz w:val="28"/>
          <w:szCs w:val="28"/>
        </w:rPr>
        <w:t>hydroxyapatite crystals</w:t>
      </w:r>
      <w:r w:rsidRPr="00B1071A">
        <w:rPr>
          <w:rFonts w:ascii="標楷體" w:eastAsia="標楷體" w:hAnsi="標楷體" w:cs="DFKaiShu-SB-Estd-BF" w:hint="eastAsia"/>
          <w:kern w:val="0"/>
          <w:sz w:val="28"/>
          <w:szCs w:val="28"/>
        </w:rPr>
        <w:t>具有親和力，作為一種抗骨質吸收劑。於細胞中，</w:t>
      </w:r>
      <w:r w:rsidRPr="00B1071A">
        <w:rPr>
          <w:rFonts w:ascii="Times New Roman" w:eastAsia="DFKaiShu-SB-Estd-BF" w:hAnsi="Times New Roman" w:cs="Times New Roman"/>
          <w:kern w:val="0"/>
          <w:sz w:val="28"/>
          <w:szCs w:val="28"/>
        </w:rPr>
        <w:t>Risedronate</w:t>
      </w:r>
      <w:r>
        <w:rPr>
          <w:rFonts w:asciiTheme="minorEastAsia" w:hAnsiTheme="minorEastAsia" w:cs="Times New Roman" w:hint="eastAsia"/>
          <w:kern w:val="0"/>
          <w:sz w:val="28"/>
          <w:szCs w:val="28"/>
        </w:rPr>
        <w:t xml:space="preserve"> </w:t>
      </w:r>
      <w:r w:rsidRPr="00B1071A">
        <w:rPr>
          <w:rFonts w:ascii="Times New Roman" w:eastAsia="DFKaiShu-SB-Estd-BF" w:hAnsi="Times New Roman" w:cs="Times New Roman"/>
          <w:kern w:val="0"/>
          <w:sz w:val="28"/>
          <w:szCs w:val="28"/>
        </w:rPr>
        <w:t xml:space="preserve">Tablet </w:t>
      </w:r>
      <w:r w:rsidRPr="00B1071A">
        <w:rPr>
          <w:rFonts w:ascii="標楷體" w:eastAsia="標楷體" w:hAnsi="標楷體" w:cs="DFKaiShu-SB-Estd-BF" w:hint="eastAsia"/>
          <w:kern w:val="0"/>
          <w:sz w:val="28"/>
          <w:szCs w:val="28"/>
        </w:rPr>
        <w:t>抑制破骨細胞。這種破骨細胞通常附著在骨表面上，顯示有減少主動性骨質吸收的證據（如缺乏波浪狀的邊緣）。</w:t>
      </w:r>
      <w:r w:rsidRPr="00B1071A">
        <w:rPr>
          <w:rFonts w:ascii="標楷體" w:eastAsia="標楷體" w:hAnsi="標楷體" w:cs="DFKaiShu-SB-Estd-BF"/>
          <w:kern w:val="0"/>
          <w:sz w:val="28"/>
          <w:szCs w:val="28"/>
        </w:rPr>
        <w:t xml:space="preserve"> </w:t>
      </w:r>
      <w:r w:rsidRPr="00B1071A">
        <w:rPr>
          <w:rFonts w:ascii="標楷體" w:eastAsia="標楷體" w:hAnsi="標楷體" w:cs="DFKaiShu-SB-Estd-BF" w:hint="eastAsia"/>
          <w:kern w:val="0"/>
          <w:sz w:val="28"/>
          <w:szCs w:val="28"/>
        </w:rPr>
        <w:t>於鼠，狗及迷你豬的組織形態學顯示，</w:t>
      </w:r>
      <w:r w:rsidRPr="00B1071A">
        <w:rPr>
          <w:rFonts w:ascii="Times New Roman" w:eastAsia="DFKaiShu-SB-Estd-BF" w:hAnsi="Times New Roman" w:cs="Times New Roman"/>
          <w:kern w:val="0"/>
          <w:sz w:val="28"/>
          <w:szCs w:val="28"/>
        </w:rPr>
        <w:t>Risedronate Tablet</w:t>
      </w:r>
      <w:r w:rsidRPr="00B1071A">
        <w:rPr>
          <w:rFonts w:ascii="標楷體" w:eastAsia="標楷體" w:hAnsi="標楷體" w:cs="DFKaiShu-SB-Estd-BF" w:hint="eastAsia"/>
          <w:kern w:val="0"/>
          <w:sz w:val="28"/>
          <w:szCs w:val="28"/>
        </w:rPr>
        <w:t>的治療可降低骨質更新速率（活性頻率，如骨再塑中的活性速率）及骨再塑作用部位的骨質再吸收。</w:t>
      </w:r>
    </w:p>
    <w:p w14:paraId="104FDFE7" w14:textId="77777777" w:rsidR="00C840D5" w:rsidRDefault="00C840D5" w:rsidP="00C840D5">
      <w:pPr>
        <w:pStyle w:val="Default"/>
        <w:ind w:left="840"/>
        <w:rPr>
          <w:sz w:val="28"/>
          <w:szCs w:val="28"/>
        </w:rPr>
      </w:pPr>
    </w:p>
    <w:p w14:paraId="5633E9F7" w14:textId="29432785" w:rsidR="00C840D5" w:rsidRPr="00C840D5" w:rsidRDefault="00C840D5" w:rsidP="00C840D5">
      <w:pPr>
        <w:pStyle w:val="Default"/>
        <w:rPr>
          <w:color w:val="FF0000"/>
          <w:sz w:val="28"/>
          <w:szCs w:val="28"/>
        </w:rPr>
      </w:pPr>
      <w:r w:rsidRPr="00C840D5">
        <w:rPr>
          <w:rFonts w:hint="eastAsia"/>
          <w:color w:val="FF0000"/>
          <w:sz w:val="28"/>
          <w:szCs w:val="28"/>
        </w:rPr>
        <w:lastRenderedPageBreak/>
        <w:t>三</w:t>
      </w:r>
      <w:r w:rsidRPr="00C840D5">
        <w:rPr>
          <w:rFonts w:ascii="新細明體" w:eastAsia="新細明體" w:hAnsi="新細明體" w:hint="eastAsia"/>
          <w:color w:val="FF0000"/>
          <w:sz w:val="28"/>
          <w:szCs w:val="28"/>
        </w:rPr>
        <w:t>、</w:t>
      </w:r>
      <w:r w:rsidRPr="00C840D5">
        <w:rPr>
          <w:rFonts w:hint="eastAsia"/>
          <w:color w:val="FF0000"/>
          <w:sz w:val="28"/>
          <w:szCs w:val="28"/>
        </w:rPr>
        <w:t>用法用量</w:t>
      </w:r>
    </w:p>
    <w:p w14:paraId="1D6FFB16" w14:textId="77777777" w:rsidR="00C840D5" w:rsidRDefault="00C840D5" w:rsidP="00C840D5">
      <w:pPr>
        <w:pStyle w:val="Default"/>
        <w:numPr>
          <w:ilvl w:val="0"/>
          <w:numId w:val="18"/>
        </w:numPr>
        <w:ind w:left="993"/>
        <w:rPr>
          <w:rFonts w:hAnsi="標楷體" w:cs="DFKaiShu-SB-Estd-BF"/>
        </w:rPr>
      </w:pPr>
      <w:r w:rsidRPr="00B1071A">
        <w:rPr>
          <w:rFonts w:hint="eastAsia"/>
          <w:sz w:val="28"/>
          <w:szCs w:val="28"/>
        </w:rPr>
        <w:t>每月口服</w:t>
      </w:r>
      <w:r w:rsidRPr="00135DF6">
        <w:rPr>
          <w:rFonts w:ascii="Times New Roman" w:hAnsi="Times New Roman" w:cs="Times New Roman"/>
          <w:sz w:val="28"/>
          <w:szCs w:val="28"/>
        </w:rPr>
        <w:t>150mg</w:t>
      </w:r>
      <w:r w:rsidRPr="00B1071A">
        <w:rPr>
          <w:rFonts w:hint="eastAsia"/>
          <w:sz w:val="28"/>
          <w:szCs w:val="28"/>
        </w:rPr>
        <w:t>，服藥當天的第一餐前空腹至少</w:t>
      </w:r>
      <w:r w:rsidRPr="00BC055C">
        <w:rPr>
          <w:rFonts w:ascii="Times New Roman" w:hAnsi="Times New Roman" w:cs="Times New Roman"/>
          <w:sz w:val="28"/>
          <w:szCs w:val="28"/>
        </w:rPr>
        <w:t>30</w:t>
      </w:r>
      <w:r w:rsidRPr="00B1071A">
        <w:rPr>
          <w:rFonts w:hint="eastAsia"/>
          <w:sz w:val="28"/>
          <w:szCs w:val="28"/>
        </w:rPr>
        <w:t>分鐘以上，並予以大量白開水服用(至少</w:t>
      </w:r>
      <w:r w:rsidRPr="00BC055C">
        <w:rPr>
          <w:rFonts w:ascii="Times New Roman" w:hAnsi="Times New Roman" w:cs="Times New Roman"/>
          <w:sz w:val="28"/>
          <w:szCs w:val="28"/>
        </w:rPr>
        <w:t>300ml</w:t>
      </w:r>
      <w:r w:rsidRPr="00B1071A">
        <w:rPr>
          <w:rFonts w:hint="eastAsia"/>
          <w:sz w:val="28"/>
          <w:szCs w:val="28"/>
        </w:rPr>
        <w:t>)，服藥後</w:t>
      </w:r>
      <w:r w:rsidRPr="00BC055C">
        <w:rPr>
          <w:rFonts w:ascii="Times New Roman" w:hAnsi="Times New Roman" w:cs="Times New Roman"/>
          <w:sz w:val="28"/>
          <w:szCs w:val="28"/>
        </w:rPr>
        <w:t>30</w:t>
      </w:r>
      <w:r w:rsidRPr="00B1071A">
        <w:rPr>
          <w:rFonts w:hint="eastAsia"/>
          <w:sz w:val="28"/>
          <w:szCs w:val="28"/>
        </w:rPr>
        <w:t>分鐘內不可臥躺</w:t>
      </w:r>
      <w:r w:rsidRPr="00B1071A">
        <w:rPr>
          <w:rFonts w:hAnsi="標楷體" w:cs="DFKaiShu-SB-Estd-BF" w:hint="eastAsia"/>
        </w:rPr>
        <w:t>。</w:t>
      </w:r>
    </w:p>
    <w:p w14:paraId="6C003057" w14:textId="77777777" w:rsidR="00C840D5" w:rsidRPr="00135DF6" w:rsidRDefault="00C840D5" w:rsidP="00C840D5">
      <w:pPr>
        <w:pStyle w:val="a4"/>
        <w:numPr>
          <w:ilvl w:val="0"/>
          <w:numId w:val="18"/>
        </w:numPr>
        <w:autoSpaceDE w:val="0"/>
        <w:autoSpaceDN w:val="0"/>
        <w:adjustRightInd w:val="0"/>
        <w:ind w:leftChars="0" w:left="993"/>
        <w:rPr>
          <w:rFonts w:ascii="DFKaiShu-SB-Estd-BF" w:eastAsia="DFKaiShu-SB-Estd-BF" w:cs="DFKaiShu-SB-Estd-BF"/>
          <w:kern w:val="0"/>
          <w:sz w:val="28"/>
          <w:szCs w:val="28"/>
        </w:rPr>
      </w:pPr>
      <w:r w:rsidRPr="00135DF6">
        <w:rPr>
          <w:rFonts w:ascii="標楷體" w:eastAsia="標楷體" w:hAnsi="標楷體" w:cs="DFKaiShu-SB-Estd-BF" w:hint="eastAsia"/>
          <w:kern w:val="0"/>
          <w:sz w:val="28"/>
          <w:szCs w:val="28"/>
        </w:rPr>
        <w:t>停經後之骨質疏鬆症</w:t>
      </w:r>
      <w:r w:rsidRPr="00135DF6">
        <w:rPr>
          <w:rFonts w:ascii="Times New Roman" w:eastAsia="DFKaiShu-SB-Estd-BF" w:hAnsi="Times New Roman" w:cs="Times New Roman"/>
          <w:kern w:val="0"/>
          <w:sz w:val="28"/>
          <w:szCs w:val="28"/>
        </w:rPr>
        <w:t>（</w:t>
      </w:r>
      <w:r w:rsidRPr="00135DF6">
        <w:rPr>
          <w:rFonts w:ascii="Times New Roman" w:eastAsia="DFKaiShu-SB-Estd-BF" w:hAnsi="Times New Roman" w:cs="Times New Roman"/>
          <w:kern w:val="0"/>
          <w:sz w:val="28"/>
          <w:szCs w:val="28"/>
        </w:rPr>
        <w:t>Postmenopausal Osteoporosis</w:t>
      </w:r>
      <w:r w:rsidRPr="00135DF6">
        <w:rPr>
          <w:rFonts w:ascii="Times New Roman" w:eastAsia="DFKaiShu-SB-Estd-BF" w:hAnsi="Times New Roman" w:cs="Times New Roman"/>
          <w:kern w:val="0"/>
          <w:sz w:val="28"/>
          <w:szCs w:val="28"/>
        </w:rPr>
        <w:t>）</w:t>
      </w:r>
      <w:r w:rsidRPr="00135DF6">
        <w:rPr>
          <w:rFonts w:ascii="DFKaiShu-SB-Estd-BF" w:eastAsia="DFKaiShu-SB-Estd-BF" w:cs="DFKaiShu-SB-Estd-BF" w:hint="eastAsia"/>
          <w:kern w:val="0"/>
          <w:sz w:val="28"/>
          <w:szCs w:val="28"/>
        </w:rPr>
        <w:t>：</w:t>
      </w:r>
      <w:r w:rsidRPr="00135DF6">
        <w:rPr>
          <w:rFonts w:ascii="Times New Roman" w:eastAsia="DFKaiShu-SB-Estd-BF" w:hAnsi="Times New Roman" w:cs="Times New Roman"/>
          <w:kern w:val="0"/>
          <w:sz w:val="28"/>
          <w:szCs w:val="28"/>
        </w:rPr>
        <w:t>Reosteo</w:t>
      </w:r>
      <w:r w:rsidRPr="006E42D2">
        <w:rPr>
          <w:rFonts w:ascii="Times New Roman" w:eastAsia="DFKaiShu-SB-Estd-BF" w:hAnsi="Times New Roman" w:cs="Times New Roman"/>
          <w:kern w:val="0"/>
          <w:sz w:val="28"/>
          <w:szCs w:val="28"/>
          <w:vertAlign w:val="superscript"/>
        </w:rPr>
        <w:t>®</w:t>
      </w:r>
      <w:r w:rsidRPr="00135DF6">
        <w:rPr>
          <w:rFonts w:ascii="Times New Roman" w:eastAsia="DFKaiShu-SB-Estd-BF" w:hAnsi="Times New Roman" w:cs="Times New Roman"/>
          <w:kern w:val="0"/>
          <w:sz w:val="28"/>
          <w:szCs w:val="28"/>
        </w:rPr>
        <w:t>150</w:t>
      </w:r>
      <w:r w:rsidRPr="00135DF6">
        <w:rPr>
          <w:rFonts w:ascii="標楷體" w:eastAsia="標楷體" w:hAnsi="標楷體" w:cs="DFKaiShu-SB-Estd-BF" w:hint="eastAsia"/>
          <w:kern w:val="0"/>
          <w:sz w:val="28"/>
          <w:szCs w:val="28"/>
        </w:rPr>
        <w:t>毫克和</w:t>
      </w:r>
      <w:r w:rsidRPr="00135DF6">
        <w:rPr>
          <w:rFonts w:ascii="Times New Roman" w:eastAsia="DFKaiShu-SB-Estd-BF" w:hAnsi="Times New Roman" w:cs="Times New Roman"/>
          <w:kern w:val="0"/>
          <w:sz w:val="28"/>
          <w:szCs w:val="28"/>
        </w:rPr>
        <w:t>Reosteo</w:t>
      </w:r>
      <w:r w:rsidRPr="006E42D2">
        <w:rPr>
          <w:rFonts w:ascii="Times New Roman" w:eastAsia="DFKaiShu-SB-Estd-BF" w:hAnsi="Times New Roman" w:cs="Times New Roman"/>
          <w:kern w:val="0"/>
          <w:sz w:val="28"/>
          <w:szCs w:val="28"/>
          <w:vertAlign w:val="superscript"/>
        </w:rPr>
        <w:t>®</w:t>
      </w:r>
      <w:r w:rsidRPr="00135DF6">
        <w:rPr>
          <w:rFonts w:ascii="Times New Roman" w:eastAsia="DFKaiShu-SB-Estd-BF" w:hAnsi="Times New Roman" w:cs="Times New Roman"/>
          <w:kern w:val="0"/>
          <w:sz w:val="28"/>
          <w:szCs w:val="28"/>
        </w:rPr>
        <w:t>35</w:t>
      </w:r>
      <w:r w:rsidRPr="00135DF6">
        <w:rPr>
          <w:rFonts w:ascii="標楷體" w:eastAsia="標楷體" w:hAnsi="標楷體" w:cs="Times New Roman"/>
          <w:kern w:val="0"/>
          <w:sz w:val="28"/>
          <w:szCs w:val="28"/>
        </w:rPr>
        <w:t>毫克適用於婦女停經後骨質疏鬆症之治療與預防</w:t>
      </w:r>
      <w:r w:rsidRPr="00135DF6">
        <w:rPr>
          <w:rFonts w:ascii="標楷體" w:eastAsia="標楷體" w:hAnsi="標楷體" w:cs="DFKaiShu-SB-Estd-BF" w:hint="eastAsia"/>
          <w:kern w:val="0"/>
          <w:sz w:val="28"/>
          <w:szCs w:val="28"/>
        </w:rPr>
        <w:t>。</w:t>
      </w:r>
    </w:p>
    <w:p w14:paraId="5E4B6008" w14:textId="77777777" w:rsidR="00C840D5" w:rsidRPr="00135DF6" w:rsidRDefault="00C840D5" w:rsidP="00C840D5">
      <w:pPr>
        <w:pStyle w:val="Default"/>
        <w:numPr>
          <w:ilvl w:val="0"/>
          <w:numId w:val="18"/>
        </w:numPr>
        <w:ind w:left="993"/>
        <w:rPr>
          <w:rFonts w:hAnsi="標楷體" w:cs="DFKaiShu-SB-Estd-BF"/>
          <w:sz w:val="28"/>
          <w:szCs w:val="28"/>
        </w:rPr>
      </w:pPr>
      <w:r w:rsidRPr="00135DF6">
        <w:rPr>
          <w:rFonts w:hAnsi="標楷體" w:cs="DFKaiShu-SB-Estd-BF" w:hint="eastAsia"/>
          <w:sz w:val="28"/>
          <w:szCs w:val="28"/>
        </w:rPr>
        <w:t>男性骨質疏鬆症</w:t>
      </w:r>
      <w:r w:rsidRPr="00135DF6">
        <w:rPr>
          <w:rFonts w:ascii="DFKaiShu-SB-Estd-BF" w:eastAsia="DFKaiShu-SB-Estd-BF" w:cs="DFKaiShu-SB-Estd-BF"/>
          <w:sz w:val="28"/>
          <w:szCs w:val="28"/>
        </w:rPr>
        <w:t>(</w:t>
      </w:r>
      <w:r w:rsidRPr="00135DF6">
        <w:rPr>
          <w:rFonts w:ascii="Times New Roman" w:eastAsia="DFKaiShu-SB-Estd-BF" w:hAnsi="Times New Roman" w:cs="Times New Roman"/>
          <w:sz w:val="28"/>
          <w:szCs w:val="28"/>
        </w:rPr>
        <w:t>Osteoporosis in Men</w:t>
      </w:r>
      <w:r w:rsidRPr="00135DF6">
        <w:rPr>
          <w:rFonts w:ascii="DFKaiShu-SB-Estd-BF" w:eastAsia="DFKaiShu-SB-Estd-BF" w:cs="DFKaiShu-SB-Estd-BF"/>
          <w:sz w:val="28"/>
          <w:szCs w:val="28"/>
        </w:rPr>
        <w:t>)</w:t>
      </w:r>
      <w:r w:rsidRPr="00135DF6">
        <w:rPr>
          <w:rFonts w:ascii="DFKaiShu-SB-Estd-BF" w:eastAsia="DFKaiShu-SB-Estd-BF" w:cs="DFKaiShu-SB-Estd-BF" w:hint="eastAsia"/>
          <w:sz w:val="28"/>
          <w:szCs w:val="28"/>
        </w:rPr>
        <w:t>：</w:t>
      </w:r>
      <w:r w:rsidRPr="00135DF6">
        <w:rPr>
          <w:rFonts w:ascii="Times New Roman" w:eastAsia="DFKaiShu-SB-Estd-BF" w:hAnsi="Times New Roman" w:cs="Times New Roman"/>
          <w:sz w:val="28"/>
          <w:szCs w:val="28"/>
        </w:rPr>
        <w:t>Reosteo®35</w:t>
      </w:r>
      <w:r w:rsidRPr="00135DF6">
        <w:rPr>
          <w:rFonts w:ascii="DFKaiShu-SB-Estd-BF" w:eastAsia="DFKaiShu-SB-Estd-BF" w:cs="DFKaiShu-SB-Estd-BF" w:hint="eastAsia"/>
          <w:sz w:val="28"/>
          <w:szCs w:val="28"/>
        </w:rPr>
        <w:t>毫</w:t>
      </w:r>
      <w:r w:rsidRPr="00135DF6">
        <w:rPr>
          <w:rFonts w:hAnsi="標楷體" w:cs="DFKaiShu-SB-Estd-BF" w:hint="eastAsia"/>
          <w:sz w:val="28"/>
          <w:szCs w:val="28"/>
        </w:rPr>
        <w:t>克適用於高骨折風險之男性骨質疏鬆症治療。</w:t>
      </w:r>
    </w:p>
    <w:p w14:paraId="627AEA13" w14:textId="138C5E48" w:rsidR="00C840D5" w:rsidRPr="00FB2959" w:rsidRDefault="00C840D5" w:rsidP="00C840D5">
      <w:pPr>
        <w:pStyle w:val="Default"/>
        <w:rPr>
          <w:color w:val="FF0000"/>
          <w:sz w:val="28"/>
          <w:szCs w:val="28"/>
        </w:rPr>
      </w:pPr>
      <w:r w:rsidRPr="00FB2959">
        <w:rPr>
          <w:rFonts w:hint="eastAsia"/>
          <w:color w:val="FF0000"/>
          <w:sz w:val="28"/>
          <w:szCs w:val="28"/>
        </w:rPr>
        <w:t>四</w:t>
      </w:r>
      <w:r w:rsidRPr="00FB2959">
        <w:rPr>
          <w:rFonts w:ascii="新細明體" w:eastAsia="新細明體" w:hAnsi="新細明體" w:hint="eastAsia"/>
          <w:color w:val="FF0000"/>
          <w:sz w:val="28"/>
          <w:szCs w:val="28"/>
        </w:rPr>
        <w:t>、</w:t>
      </w:r>
      <w:r w:rsidRPr="00FB2959">
        <w:rPr>
          <w:rFonts w:hint="eastAsia"/>
          <w:color w:val="FF0000"/>
          <w:sz w:val="28"/>
          <w:szCs w:val="28"/>
        </w:rPr>
        <w:t>藥物動力學特性</w:t>
      </w:r>
    </w:p>
    <w:p w14:paraId="3FE78A81" w14:textId="77777777" w:rsidR="00C840D5" w:rsidRPr="00BC055C" w:rsidRDefault="00C840D5" w:rsidP="00C840D5">
      <w:pPr>
        <w:pStyle w:val="a4"/>
        <w:numPr>
          <w:ilvl w:val="0"/>
          <w:numId w:val="19"/>
        </w:numPr>
        <w:autoSpaceDE w:val="0"/>
        <w:autoSpaceDN w:val="0"/>
        <w:adjustRightInd w:val="0"/>
        <w:ind w:leftChars="0" w:left="993"/>
        <w:rPr>
          <w:rFonts w:ascii="標楷體" w:eastAsia="標楷體" w:hAnsi="標楷體" w:cs="DFKaiShu-SB-Estd-BF"/>
          <w:kern w:val="0"/>
          <w:sz w:val="28"/>
          <w:szCs w:val="28"/>
        </w:rPr>
      </w:pPr>
      <w:r w:rsidRPr="00BC055C">
        <w:rPr>
          <w:rFonts w:ascii="標楷體" w:eastAsia="標楷體" w:hAnsi="標楷體" w:cs="DFKaiShu-SB-Estd-BF" w:hint="eastAsia"/>
          <w:kern w:val="0"/>
          <w:sz w:val="28"/>
          <w:szCs w:val="28"/>
        </w:rPr>
        <w:t>吸收：口服錠劑經由上胃腸道快速完全吸收，口服後約一小時可達血中最高濃度。</w:t>
      </w:r>
    </w:p>
    <w:p w14:paraId="30B9586C" w14:textId="77777777" w:rsidR="00C840D5" w:rsidRPr="00BC055C" w:rsidRDefault="00C840D5" w:rsidP="00C840D5">
      <w:pPr>
        <w:pStyle w:val="a4"/>
        <w:numPr>
          <w:ilvl w:val="0"/>
          <w:numId w:val="19"/>
        </w:numPr>
        <w:autoSpaceDE w:val="0"/>
        <w:autoSpaceDN w:val="0"/>
        <w:adjustRightInd w:val="0"/>
        <w:ind w:leftChars="0" w:left="993"/>
        <w:rPr>
          <w:rFonts w:ascii="DFKaiShu-SB-Estd-BF" w:cs="DFKaiShu-SB-Estd-BF"/>
          <w:kern w:val="0"/>
          <w:sz w:val="28"/>
          <w:szCs w:val="28"/>
        </w:rPr>
      </w:pPr>
      <w:r w:rsidRPr="00BC055C">
        <w:rPr>
          <w:rFonts w:ascii="標楷體" w:eastAsia="標楷體" w:hAnsi="標楷體" w:cs="DFKaiShu-SB-Estd-BF" w:hint="eastAsia"/>
          <w:kern w:val="0"/>
          <w:sz w:val="28"/>
          <w:szCs w:val="28"/>
        </w:rPr>
        <w:t>分佈：穩定狀態下之人體分佈體積平均為</w:t>
      </w:r>
      <w:r w:rsidRPr="00BC055C">
        <w:rPr>
          <w:rFonts w:ascii="Times New Roman" w:eastAsia="DFKaiShu-SB-Estd-BF" w:hAnsi="Times New Roman" w:cs="Times New Roman"/>
          <w:kern w:val="0"/>
          <w:sz w:val="28"/>
          <w:szCs w:val="28"/>
        </w:rPr>
        <w:t>6.3L/kg</w:t>
      </w:r>
      <w:r w:rsidRPr="00BC055C">
        <w:rPr>
          <w:rFonts w:ascii="標楷體" w:eastAsia="標楷體" w:hAnsi="標楷體" w:cs="DFKaiShu-SB-Estd-BF" w:hint="eastAsia"/>
          <w:kern w:val="0"/>
          <w:sz w:val="28"/>
          <w:szCs w:val="28"/>
        </w:rPr>
        <w:t>，藥物與人體血漿蛋白結合率為</w:t>
      </w:r>
      <w:r w:rsidRPr="00BC055C">
        <w:rPr>
          <w:rFonts w:ascii="Times New Roman" w:eastAsia="DFKaiShu-SB-Estd-BF" w:hAnsi="Times New Roman" w:cs="Times New Roman"/>
          <w:kern w:val="0"/>
          <w:sz w:val="28"/>
          <w:szCs w:val="28"/>
        </w:rPr>
        <w:t>24</w:t>
      </w:r>
      <w:r w:rsidRPr="00BC055C">
        <w:rPr>
          <w:rFonts w:ascii="Times New Roman" w:eastAsia="DFKaiShu-SB-Estd-BF" w:hAnsi="Times New Roman" w:cs="Times New Roman"/>
          <w:kern w:val="0"/>
          <w:sz w:val="28"/>
          <w:szCs w:val="28"/>
        </w:rPr>
        <w:t>％。</w:t>
      </w:r>
    </w:p>
    <w:p w14:paraId="5181EDBE" w14:textId="77777777" w:rsidR="00C840D5" w:rsidRPr="00BC055C" w:rsidRDefault="00C840D5" w:rsidP="00C840D5">
      <w:pPr>
        <w:pStyle w:val="a4"/>
        <w:numPr>
          <w:ilvl w:val="0"/>
          <w:numId w:val="19"/>
        </w:numPr>
        <w:autoSpaceDE w:val="0"/>
        <w:autoSpaceDN w:val="0"/>
        <w:adjustRightInd w:val="0"/>
        <w:ind w:leftChars="0" w:left="993"/>
        <w:rPr>
          <w:sz w:val="28"/>
          <w:szCs w:val="28"/>
        </w:rPr>
      </w:pPr>
      <w:r w:rsidRPr="00BC055C">
        <w:rPr>
          <w:rFonts w:ascii="標楷體" w:eastAsia="標楷體" w:hAnsi="標楷體" w:cs="DFKaiShu-SB-Estd-BF" w:hint="eastAsia"/>
          <w:kern w:val="0"/>
          <w:sz w:val="28"/>
          <w:szCs w:val="28"/>
        </w:rPr>
        <w:t>代謝：沒有證據顯示</w:t>
      </w:r>
      <w:r w:rsidRPr="00BC055C">
        <w:rPr>
          <w:rFonts w:ascii="Times New Roman" w:eastAsia="DFKaiShu-SB-Estd-BF" w:hAnsi="Times New Roman" w:cs="Times New Roman"/>
          <w:kern w:val="0"/>
          <w:sz w:val="28"/>
          <w:szCs w:val="28"/>
        </w:rPr>
        <w:t>Risedronate</w:t>
      </w:r>
      <w:r w:rsidRPr="00BC055C">
        <w:rPr>
          <w:rFonts w:ascii="標楷體" w:eastAsia="標楷體" w:hAnsi="標楷體" w:cs="DFKaiShu-SB-Estd-BF" w:hint="eastAsia"/>
          <w:kern w:val="0"/>
          <w:sz w:val="28"/>
          <w:szCs w:val="28"/>
        </w:rPr>
        <w:t>會產生全身性代謝作用</w:t>
      </w:r>
      <w:r w:rsidRPr="00BC055C">
        <w:rPr>
          <w:rFonts w:ascii="DFKaiShu-SB-Estd-BF" w:eastAsia="DFKaiShu-SB-Estd-BF" w:cs="DFKaiShu-SB-Estd-BF" w:hint="eastAsia"/>
          <w:kern w:val="0"/>
          <w:sz w:val="28"/>
          <w:szCs w:val="28"/>
        </w:rPr>
        <w:t>。</w:t>
      </w:r>
    </w:p>
    <w:p w14:paraId="7C7BC880" w14:textId="6C001B01" w:rsidR="00A94656" w:rsidRPr="00C840D5" w:rsidRDefault="00C840D5" w:rsidP="00C840D5">
      <w:pPr>
        <w:pStyle w:val="a4"/>
        <w:numPr>
          <w:ilvl w:val="0"/>
          <w:numId w:val="19"/>
        </w:numPr>
        <w:autoSpaceDE w:val="0"/>
        <w:autoSpaceDN w:val="0"/>
        <w:adjustRightInd w:val="0"/>
        <w:ind w:leftChars="0" w:left="993"/>
        <w:rPr>
          <w:rFonts w:ascii="DFKaiShu-SB-Estd-BF" w:cs="DFKaiShu-SB-Estd-BF" w:hint="eastAsia"/>
          <w:kern w:val="0"/>
          <w:sz w:val="28"/>
          <w:szCs w:val="28"/>
        </w:rPr>
      </w:pPr>
      <w:r w:rsidRPr="00BC055C">
        <w:rPr>
          <w:rFonts w:ascii="標楷體" w:eastAsia="標楷體" w:hAnsi="標楷體" w:cs="DFKaiShu-SB-Estd-BF" w:hint="eastAsia"/>
          <w:kern w:val="0"/>
          <w:sz w:val="28"/>
          <w:szCs w:val="28"/>
        </w:rPr>
        <w:t>排除：吸收至體內的藥量，約有一半於</w:t>
      </w:r>
      <w:r w:rsidRPr="00BC055C">
        <w:rPr>
          <w:rFonts w:ascii="Times New Roman" w:eastAsia="DFKaiShu-SB-Estd-BF" w:hAnsi="Times New Roman" w:cs="Times New Roman"/>
          <w:kern w:val="0"/>
          <w:sz w:val="28"/>
          <w:szCs w:val="28"/>
        </w:rPr>
        <w:t>24</w:t>
      </w:r>
      <w:r w:rsidRPr="00BC055C">
        <w:rPr>
          <w:rFonts w:ascii="標楷體" w:eastAsia="標楷體" w:hAnsi="標楷體" w:cs="DFKaiShu-SB-Estd-BF" w:hint="eastAsia"/>
          <w:kern w:val="0"/>
          <w:sz w:val="28"/>
          <w:szCs w:val="28"/>
        </w:rPr>
        <w:t>小時內自尿液排出</w:t>
      </w:r>
      <w:r w:rsidRPr="00BC055C">
        <w:rPr>
          <w:rFonts w:ascii="DFKaiShu-SB-Estd-BF" w:eastAsia="DFKaiShu-SB-Estd-BF" w:cs="DFKaiShu-SB-Estd-BF" w:hint="eastAsia"/>
          <w:kern w:val="0"/>
          <w:sz w:val="28"/>
          <w:szCs w:val="28"/>
        </w:rPr>
        <w:t>。</w:t>
      </w:r>
    </w:p>
    <w:p w14:paraId="64C00DCE" w14:textId="7355420F" w:rsidR="00C840D5" w:rsidRPr="00FB2959" w:rsidRDefault="00C840D5" w:rsidP="00C840D5">
      <w:pPr>
        <w:pStyle w:val="a4"/>
        <w:autoSpaceDE w:val="0"/>
        <w:autoSpaceDN w:val="0"/>
        <w:adjustRightInd w:val="0"/>
        <w:ind w:leftChars="0" w:left="0"/>
        <w:rPr>
          <w:rFonts w:ascii="標楷體" w:eastAsia="標楷體" w:hAnsi="標楷體" w:cs="DFKaiShu-SB-Estd-BF"/>
          <w:color w:val="FF0000"/>
          <w:kern w:val="0"/>
          <w:sz w:val="28"/>
          <w:szCs w:val="28"/>
        </w:rPr>
      </w:pPr>
      <w:r w:rsidRPr="00FB2959">
        <w:rPr>
          <w:rFonts w:ascii="標楷體" w:eastAsia="標楷體" w:hAnsi="標楷體" w:hint="eastAsia"/>
          <w:color w:val="FF0000"/>
          <w:sz w:val="28"/>
          <w:szCs w:val="28"/>
        </w:rPr>
        <w:t>五</w:t>
      </w:r>
      <w:r w:rsidRPr="00FB2959">
        <w:rPr>
          <w:rFonts w:ascii="新細明體" w:eastAsia="新細明體" w:hAnsi="新細明體" w:hint="eastAsia"/>
          <w:color w:val="FF0000"/>
          <w:sz w:val="28"/>
          <w:szCs w:val="28"/>
        </w:rPr>
        <w:t>、</w:t>
      </w:r>
      <w:r w:rsidRPr="00FB2959">
        <w:rPr>
          <w:rFonts w:ascii="標楷體" w:eastAsia="標楷體" w:hAnsi="標楷體" w:cs="DFKaiShu-SB-Estd-BF" w:hint="eastAsia"/>
          <w:color w:val="FF0000"/>
          <w:kern w:val="0"/>
          <w:sz w:val="28"/>
          <w:szCs w:val="28"/>
        </w:rPr>
        <w:t>注意事項</w:t>
      </w:r>
    </w:p>
    <w:p w14:paraId="2F9A0E72" w14:textId="77777777" w:rsidR="00C840D5" w:rsidRDefault="00C840D5" w:rsidP="00C840D5">
      <w:pPr>
        <w:pStyle w:val="a4"/>
        <w:numPr>
          <w:ilvl w:val="0"/>
          <w:numId w:val="20"/>
        </w:numPr>
        <w:autoSpaceDE w:val="0"/>
        <w:autoSpaceDN w:val="0"/>
        <w:adjustRightInd w:val="0"/>
        <w:ind w:leftChars="0" w:left="993"/>
        <w:rPr>
          <w:rFonts w:ascii="標楷體" w:eastAsia="標楷體" w:hAnsi="標楷體" w:cs="DFKaiShu-SB-Estd-BF"/>
          <w:kern w:val="0"/>
          <w:sz w:val="28"/>
          <w:szCs w:val="28"/>
        </w:rPr>
      </w:pPr>
      <w:r w:rsidRPr="006E42D2">
        <w:rPr>
          <w:rFonts w:ascii="標楷體" w:eastAsia="標楷體" w:hAnsi="標楷體" w:cs="DFKaiShu-SB-Estd-BF" w:hint="eastAsia"/>
          <w:kern w:val="0"/>
          <w:sz w:val="28"/>
          <w:szCs w:val="28"/>
        </w:rPr>
        <w:t>一般：在開始使用</w:t>
      </w:r>
      <w:r w:rsidRPr="006E42D2">
        <w:rPr>
          <w:rFonts w:ascii="Times New Roman" w:eastAsia="標楷體" w:hAnsi="Times New Roman" w:cs="Times New Roman"/>
          <w:kern w:val="0"/>
          <w:sz w:val="28"/>
          <w:szCs w:val="28"/>
        </w:rPr>
        <w:t>Reosteo</w:t>
      </w:r>
      <w:r w:rsidRPr="006E42D2">
        <w:rPr>
          <w:rFonts w:ascii="Times New Roman" w:eastAsia="標楷體" w:hAnsi="Times New Roman" w:cs="Times New Roman"/>
          <w:kern w:val="0"/>
          <w:sz w:val="28"/>
          <w:szCs w:val="28"/>
          <w:vertAlign w:val="superscript"/>
        </w:rPr>
        <w:t>®</w:t>
      </w:r>
      <w:r w:rsidRPr="006E42D2">
        <w:rPr>
          <w:rFonts w:ascii="標楷體" w:eastAsia="標楷體" w:hAnsi="標楷體" w:cs="DFKaiShu-SB-Estd-BF" w:hint="eastAsia"/>
          <w:kern w:val="0"/>
          <w:sz w:val="28"/>
          <w:szCs w:val="28"/>
        </w:rPr>
        <w:t>作治療前，應先有效地治療低血鈣，及其他骨障礙症和礦物質代謝。所有的患者皆要補充適量的鈣與維生素</w:t>
      </w:r>
      <w:r w:rsidRPr="006E42D2">
        <w:rPr>
          <w:rFonts w:ascii="Times New Roman" w:eastAsia="標楷體" w:hAnsi="Times New Roman" w:cs="Times New Roman"/>
          <w:kern w:val="0"/>
          <w:sz w:val="28"/>
          <w:szCs w:val="28"/>
        </w:rPr>
        <w:t>D</w:t>
      </w:r>
      <w:r w:rsidRPr="006E42D2">
        <w:rPr>
          <w:rFonts w:ascii="標楷體" w:eastAsia="標楷體" w:hAnsi="標楷體" w:cs="DFKaiShu-SB-Estd-BF" w:hint="eastAsia"/>
          <w:kern w:val="0"/>
          <w:sz w:val="28"/>
          <w:szCs w:val="28"/>
        </w:rPr>
        <w:t>，尤其是帕哲特氏病之患者，因其骨更新速率較其他患者明顯地增高。</w:t>
      </w:r>
    </w:p>
    <w:p w14:paraId="751FFBC1" w14:textId="77777777" w:rsidR="00C840D5" w:rsidRPr="00C840D5" w:rsidRDefault="00C840D5" w:rsidP="00C840D5">
      <w:pPr>
        <w:pStyle w:val="a4"/>
        <w:numPr>
          <w:ilvl w:val="0"/>
          <w:numId w:val="20"/>
        </w:numPr>
        <w:autoSpaceDE w:val="0"/>
        <w:autoSpaceDN w:val="0"/>
        <w:adjustRightInd w:val="0"/>
        <w:ind w:leftChars="0" w:left="993"/>
        <w:rPr>
          <w:rFonts w:ascii="標楷體" w:eastAsia="標楷體" w:hAnsi="標楷體" w:cs="DFKaiShu-SB-Estd-BF"/>
          <w:kern w:val="0"/>
          <w:sz w:val="28"/>
          <w:szCs w:val="28"/>
        </w:rPr>
      </w:pPr>
      <w:r w:rsidRPr="00C840D5">
        <w:rPr>
          <w:rFonts w:ascii="標楷體" w:eastAsia="標楷體" w:hAnsi="標楷體" w:cs="DFKaiShu-SB-Estd-BF" w:hint="eastAsia"/>
          <w:kern w:val="0"/>
          <w:sz w:val="28"/>
          <w:szCs w:val="28"/>
        </w:rPr>
        <w:lastRenderedPageBreak/>
        <w:t>嚴重腎功能不全</w:t>
      </w:r>
      <w:r w:rsidRPr="00C840D5">
        <w:rPr>
          <w:rFonts w:ascii="標楷體" w:eastAsia="標楷體" w:hAnsi="標楷體" w:cs="DFKaiShu-SB-Estd-BF"/>
          <w:kern w:val="0"/>
          <w:sz w:val="28"/>
          <w:szCs w:val="28"/>
        </w:rPr>
        <w:t>(</w:t>
      </w:r>
      <w:r w:rsidRPr="00C840D5">
        <w:rPr>
          <w:rFonts w:ascii="標楷體" w:eastAsia="標楷體" w:hAnsi="標楷體" w:cs="DFKaiShu-SB-Estd-BF" w:hint="eastAsia"/>
          <w:kern w:val="0"/>
          <w:sz w:val="28"/>
          <w:szCs w:val="28"/>
        </w:rPr>
        <w:t>肌胺酸酐廓清率</w:t>
      </w:r>
      <w:r w:rsidRPr="00C840D5">
        <w:rPr>
          <w:rFonts w:ascii="Times New Roman" w:eastAsia="標楷體" w:hAnsi="Times New Roman" w:cs="Times New Roman"/>
          <w:kern w:val="0"/>
          <w:sz w:val="28"/>
          <w:szCs w:val="28"/>
        </w:rPr>
        <w:t>＜</w:t>
      </w:r>
      <w:r w:rsidRPr="00C840D5">
        <w:rPr>
          <w:rFonts w:ascii="Times New Roman" w:eastAsia="標楷體" w:hAnsi="Times New Roman" w:cs="Times New Roman"/>
          <w:kern w:val="0"/>
          <w:sz w:val="28"/>
          <w:szCs w:val="28"/>
        </w:rPr>
        <w:t>30mL/min)</w:t>
      </w:r>
      <w:r w:rsidRPr="00C840D5">
        <w:rPr>
          <w:rFonts w:ascii="標楷體" w:eastAsia="標楷體" w:hAnsi="標楷體" w:cs="DFKaiShu-SB-Estd-BF" w:hint="eastAsia"/>
          <w:kern w:val="0"/>
          <w:sz w:val="28"/>
          <w:szCs w:val="28"/>
        </w:rPr>
        <w:t>之患者不建議使用</w:t>
      </w:r>
      <w:r w:rsidRPr="00C840D5">
        <w:rPr>
          <w:rFonts w:ascii="Times New Roman" w:eastAsia="標楷體" w:hAnsi="Times New Roman" w:cs="Times New Roman"/>
          <w:kern w:val="0"/>
          <w:sz w:val="28"/>
          <w:szCs w:val="28"/>
        </w:rPr>
        <w:t>Reosteo</w:t>
      </w:r>
      <w:r w:rsidRPr="00C840D5">
        <w:rPr>
          <w:rFonts w:ascii="Times New Roman" w:eastAsia="標楷體" w:hAnsi="Times New Roman" w:cs="Times New Roman"/>
          <w:kern w:val="0"/>
          <w:sz w:val="28"/>
          <w:szCs w:val="28"/>
          <w:vertAlign w:val="superscript"/>
        </w:rPr>
        <w:t>®</w:t>
      </w:r>
      <w:r w:rsidRPr="00C840D5">
        <w:rPr>
          <w:rFonts w:ascii="標楷體" w:eastAsia="標楷體" w:hAnsi="標楷體" w:cs="DFKaiShu-SB-Estd-BF" w:hint="eastAsia"/>
          <w:kern w:val="0"/>
          <w:sz w:val="28"/>
          <w:szCs w:val="28"/>
        </w:rPr>
        <w:t>。</w:t>
      </w:r>
    </w:p>
    <w:p w14:paraId="7E9BDE14" w14:textId="599647A5" w:rsidR="00C840D5" w:rsidRPr="00FB2959" w:rsidRDefault="00C840D5" w:rsidP="00C840D5">
      <w:pPr>
        <w:pStyle w:val="a4"/>
        <w:autoSpaceDE w:val="0"/>
        <w:autoSpaceDN w:val="0"/>
        <w:adjustRightInd w:val="0"/>
        <w:ind w:leftChars="0" w:left="0"/>
        <w:rPr>
          <w:rFonts w:ascii="標楷體" w:eastAsia="標楷體" w:hAnsi="標楷體"/>
          <w:color w:val="FF0000"/>
          <w:sz w:val="28"/>
          <w:szCs w:val="28"/>
        </w:rPr>
      </w:pPr>
      <w:r w:rsidRPr="00FB2959">
        <w:rPr>
          <w:rFonts w:ascii="標楷體" w:eastAsia="標楷體" w:hAnsi="標楷體" w:hint="eastAsia"/>
          <w:color w:val="FF0000"/>
          <w:sz w:val="28"/>
          <w:szCs w:val="28"/>
        </w:rPr>
        <w:t>六</w:t>
      </w:r>
      <w:r w:rsidRPr="00FB2959">
        <w:rPr>
          <w:rFonts w:ascii="新細明體" w:eastAsia="新細明體" w:hAnsi="新細明體" w:hint="eastAsia"/>
          <w:color w:val="FF0000"/>
          <w:sz w:val="28"/>
          <w:szCs w:val="28"/>
        </w:rPr>
        <w:t>、</w:t>
      </w:r>
      <w:r w:rsidRPr="00FB2959">
        <w:rPr>
          <w:rFonts w:ascii="標楷體" w:eastAsia="標楷體" w:hAnsi="標楷體" w:hint="eastAsia"/>
          <w:color w:val="FF0000"/>
          <w:sz w:val="28"/>
          <w:szCs w:val="28"/>
        </w:rPr>
        <w:t>衛教資訊</w:t>
      </w:r>
    </w:p>
    <w:p w14:paraId="7454C40B" w14:textId="77777777" w:rsidR="00C840D5" w:rsidRPr="00C840D5" w:rsidRDefault="00C840D5" w:rsidP="00C840D5">
      <w:pPr>
        <w:pStyle w:val="a4"/>
        <w:numPr>
          <w:ilvl w:val="0"/>
          <w:numId w:val="21"/>
        </w:numPr>
        <w:autoSpaceDE w:val="0"/>
        <w:autoSpaceDN w:val="0"/>
        <w:adjustRightInd w:val="0"/>
        <w:ind w:leftChars="0" w:left="993"/>
        <w:rPr>
          <w:rFonts w:ascii="標楷體" w:eastAsia="標楷體" w:hAnsi="標楷體" w:cs="DFKaiShu-SB-Estd-BF"/>
          <w:kern w:val="0"/>
          <w:sz w:val="28"/>
          <w:szCs w:val="28"/>
        </w:rPr>
      </w:pPr>
      <w:r w:rsidRPr="00C840D5">
        <w:rPr>
          <w:rFonts w:ascii="標楷體" w:eastAsia="標楷體" w:hAnsi="標楷體" w:cs="DFKaiShu-SB-Estd-BF" w:hint="eastAsia"/>
          <w:kern w:val="0"/>
          <w:sz w:val="28"/>
          <w:szCs w:val="28"/>
        </w:rPr>
        <w:t>請在早晨空腹時與大量開水併服。</w:t>
      </w:r>
    </w:p>
    <w:p w14:paraId="72F1C631" w14:textId="6B6D152F" w:rsidR="00C840D5" w:rsidRPr="00C840D5" w:rsidRDefault="00C840D5" w:rsidP="00C840D5">
      <w:pPr>
        <w:pStyle w:val="a4"/>
        <w:numPr>
          <w:ilvl w:val="0"/>
          <w:numId w:val="21"/>
        </w:numPr>
        <w:autoSpaceDE w:val="0"/>
        <w:autoSpaceDN w:val="0"/>
        <w:adjustRightInd w:val="0"/>
        <w:ind w:leftChars="0" w:left="993"/>
        <w:rPr>
          <w:rFonts w:ascii="標楷體" w:eastAsia="標楷體" w:hAnsi="標楷體" w:cs="DFKaiShu-SB-Estd-BF"/>
          <w:kern w:val="0"/>
          <w:sz w:val="28"/>
          <w:szCs w:val="28"/>
        </w:rPr>
      </w:pPr>
      <w:r w:rsidRPr="00C840D5">
        <w:rPr>
          <w:rFonts w:ascii="標楷體" w:eastAsia="標楷體" w:hAnsi="標楷體" w:cs="DFKaiShu-SB-Estd-BF" w:hint="eastAsia"/>
          <w:kern w:val="0"/>
          <w:sz w:val="28"/>
          <w:szCs w:val="28"/>
        </w:rPr>
        <w:t>服藥後半小時請勿躺下。</w:t>
      </w:r>
    </w:p>
    <w:p w14:paraId="404D2ABB" w14:textId="52D29054" w:rsidR="00C840D5" w:rsidRPr="00C840D5" w:rsidRDefault="00C840D5" w:rsidP="00C840D5">
      <w:pPr>
        <w:pStyle w:val="a4"/>
        <w:numPr>
          <w:ilvl w:val="0"/>
          <w:numId w:val="21"/>
        </w:numPr>
        <w:autoSpaceDE w:val="0"/>
        <w:autoSpaceDN w:val="0"/>
        <w:adjustRightInd w:val="0"/>
        <w:ind w:leftChars="0" w:left="993"/>
        <w:rPr>
          <w:rFonts w:ascii="標楷體" w:eastAsia="標楷體" w:hAnsi="標楷體" w:cs="DFKaiShu-SB-Estd-BF"/>
          <w:kern w:val="0"/>
          <w:sz w:val="28"/>
          <w:szCs w:val="28"/>
        </w:rPr>
      </w:pPr>
      <w:r w:rsidRPr="00C840D5">
        <w:rPr>
          <w:rFonts w:ascii="標楷體" w:eastAsia="標楷體" w:hAnsi="標楷體" w:cs="DFKaiShu-SB-Estd-BF" w:hint="eastAsia"/>
          <w:kern w:val="0"/>
          <w:sz w:val="28"/>
          <w:szCs w:val="28"/>
        </w:rPr>
        <w:t>勿嚼碎。</w:t>
      </w:r>
    </w:p>
    <w:p w14:paraId="5938B42F" w14:textId="4BEA2061" w:rsidR="00C840D5" w:rsidRPr="00FB2959" w:rsidRDefault="00C840D5" w:rsidP="00C840D5">
      <w:pPr>
        <w:pStyle w:val="a4"/>
        <w:autoSpaceDE w:val="0"/>
        <w:autoSpaceDN w:val="0"/>
        <w:adjustRightInd w:val="0"/>
        <w:ind w:leftChars="0" w:left="-142" w:firstLineChars="50" w:firstLine="140"/>
        <w:rPr>
          <w:rFonts w:ascii="標楷體" w:eastAsia="標楷體" w:hAnsi="標楷體" w:cs="DFKaiShu-SB-Estd-BF"/>
          <w:color w:val="FF0000"/>
          <w:kern w:val="0"/>
          <w:sz w:val="28"/>
          <w:szCs w:val="28"/>
        </w:rPr>
      </w:pPr>
      <w:bookmarkStart w:id="0" w:name="_GoBack"/>
      <w:r w:rsidRPr="00FB2959">
        <w:rPr>
          <w:rFonts w:ascii="標楷體" w:eastAsia="標楷體" w:hAnsi="標楷體" w:hint="eastAsia"/>
          <w:color w:val="FF0000"/>
          <w:sz w:val="28"/>
          <w:szCs w:val="28"/>
        </w:rPr>
        <w:t>七</w:t>
      </w:r>
      <w:r w:rsidRPr="00FB2959">
        <w:rPr>
          <w:rFonts w:ascii="新細明體" w:eastAsia="新細明體" w:hAnsi="新細明體" w:hint="eastAsia"/>
          <w:color w:val="FF0000"/>
          <w:sz w:val="28"/>
          <w:szCs w:val="28"/>
        </w:rPr>
        <w:t>、</w:t>
      </w:r>
      <w:r w:rsidRPr="00FB2959">
        <w:rPr>
          <w:rFonts w:ascii="標楷體" w:eastAsia="標楷體" w:hAnsi="標楷體" w:hint="eastAsia"/>
          <w:color w:val="FF0000"/>
          <w:sz w:val="28"/>
          <w:szCs w:val="28"/>
        </w:rPr>
        <w:t>資料來源</w:t>
      </w:r>
    </w:p>
    <w:bookmarkEnd w:id="0"/>
    <w:p w14:paraId="4521513B" w14:textId="5EB99615" w:rsidR="00327E7C" w:rsidRPr="00C840D5" w:rsidRDefault="00C840D5" w:rsidP="00C840D5">
      <w:pPr>
        <w:pStyle w:val="a4"/>
        <w:numPr>
          <w:ilvl w:val="0"/>
          <w:numId w:val="22"/>
        </w:numPr>
        <w:ind w:leftChars="0"/>
        <w:rPr>
          <w:rFonts w:ascii="標楷體" w:eastAsia="標楷體" w:hAnsi="標楷體" w:hint="eastAsia"/>
          <w:sz w:val="28"/>
          <w:szCs w:val="28"/>
        </w:rPr>
      </w:pPr>
      <w:r w:rsidRPr="00C840D5">
        <w:rPr>
          <w:rFonts w:ascii="標楷體" w:eastAsia="標楷體" w:hAnsi="標楷體" w:hint="eastAsia"/>
          <w:sz w:val="28"/>
          <w:szCs w:val="28"/>
        </w:rPr>
        <w:t>產品仿單</w:t>
      </w:r>
    </w:p>
    <w:p w14:paraId="673B90D4" w14:textId="77777777" w:rsidR="00A94656" w:rsidRPr="00A94656" w:rsidRDefault="00A94656">
      <w:pPr>
        <w:pStyle w:val="a4"/>
        <w:ind w:leftChars="0" w:left="510"/>
        <w:rPr>
          <w:rFonts w:ascii="標楷體" w:eastAsia="標楷體" w:hAnsi="標楷體"/>
          <w:sz w:val="28"/>
          <w:szCs w:val="28"/>
        </w:rPr>
      </w:pPr>
    </w:p>
    <w:sectPr w:rsidR="00A94656" w:rsidRPr="00A94656" w:rsidSect="00886601">
      <w:pgSz w:w="11906" w:h="16838"/>
      <w:pgMar w:top="1440" w:right="991" w:bottom="709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A62AEFA" w14:textId="77777777" w:rsidR="009E7E4B" w:rsidRDefault="009E7E4B" w:rsidP="000E23C8">
      <w:r>
        <w:separator/>
      </w:r>
    </w:p>
  </w:endnote>
  <w:endnote w:type="continuationSeparator" w:id="0">
    <w:p w14:paraId="4460FF8E" w14:textId="77777777" w:rsidR="009E7E4B" w:rsidRDefault="009E7E4B" w:rsidP="000E2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DFKaiShu-SB-Estd-BF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dobeFanHeitiStd-Bold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3B5CE0" w14:textId="77777777" w:rsidR="009E7E4B" w:rsidRDefault="009E7E4B" w:rsidP="000E23C8">
      <w:r>
        <w:separator/>
      </w:r>
    </w:p>
  </w:footnote>
  <w:footnote w:type="continuationSeparator" w:id="0">
    <w:p w14:paraId="09C2A600" w14:textId="77777777" w:rsidR="009E7E4B" w:rsidRDefault="009E7E4B" w:rsidP="000E23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B06B5"/>
    <w:multiLevelType w:val="hybridMultilevel"/>
    <w:tmpl w:val="CB309788"/>
    <w:lvl w:ilvl="0" w:tplc="7B76C186">
      <w:start w:val="1"/>
      <w:numFmt w:val="taiwaneseCountingThousand"/>
      <w:lvlText w:val="%1、"/>
      <w:lvlJc w:val="left"/>
      <w:pPr>
        <w:ind w:left="510" w:hanging="510"/>
      </w:pPr>
      <w:rPr>
        <w:rFonts w:cs="Arial" w:hint="default"/>
        <w:b/>
        <w:color w:val="FF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2036BDF"/>
    <w:multiLevelType w:val="hybridMultilevel"/>
    <w:tmpl w:val="B978BE86"/>
    <w:lvl w:ilvl="0" w:tplc="C98446C2">
      <w:start w:val="1"/>
      <w:numFmt w:val="bullet"/>
      <w:lvlText w:val=""/>
      <w:lvlJc w:val="left"/>
      <w:pPr>
        <w:ind w:left="1330" w:hanging="480"/>
      </w:pPr>
      <w:rPr>
        <w:rFonts w:ascii="Wingdings" w:hAnsi="Wingdings" w:hint="default"/>
        <w:sz w:val="16"/>
        <w:szCs w:val="16"/>
      </w:rPr>
    </w:lvl>
    <w:lvl w:ilvl="1" w:tplc="04090003" w:tentative="1">
      <w:start w:val="1"/>
      <w:numFmt w:val="bullet"/>
      <w:lvlText w:val=""/>
      <w:lvlJc w:val="left"/>
      <w:pPr>
        <w:ind w:left="181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9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7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5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3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9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70" w:hanging="480"/>
      </w:pPr>
      <w:rPr>
        <w:rFonts w:ascii="Wingdings" w:hAnsi="Wingdings" w:hint="default"/>
      </w:rPr>
    </w:lvl>
  </w:abstractNum>
  <w:abstractNum w:abstractNumId="2" w15:restartNumberingAfterBreak="0">
    <w:nsid w:val="04637547"/>
    <w:multiLevelType w:val="hybridMultilevel"/>
    <w:tmpl w:val="FF8078AA"/>
    <w:lvl w:ilvl="0" w:tplc="682CB78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4B83E88"/>
    <w:multiLevelType w:val="hybridMultilevel"/>
    <w:tmpl w:val="32822B5A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FFD1150"/>
    <w:multiLevelType w:val="hybridMultilevel"/>
    <w:tmpl w:val="17EAAB3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10BF2142"/>
    <w:multiLevelType w:val="hybridMultilevel"/>
    <w:tmpl w:val="0D9ED51E"/>
    <w:lvl w:ilvl="0" w:tplc="04090001">
      <w:start w:val="1"/>
      <w:numFmt w:val="bullet"/>
      <w:lvlText w:val=""/>
      <w:lvlJc w:val="left"/>
      <w:pPr>
        <w:ind w:left="10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80" w:hanging="480"/>
      </w:pPr>
      <w:rPr>
        <w:rFonts w:ascii="Wingdings" w:hAnsi="Wingdings" w:hint="default"/>
      </w:rPr>
    </w:lvl>
  </w:abstractNum>
  <w:abstractNum w:abstractNumId="6" w15:restartNumberingAfterBreak="0">
    <w:nsid w:val="2118412B"/>
    <w:multiLevelType w:val="hybridMultilevel"/>
    <w:tmpl w:val="43B6EE2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24534098"/>
    <w:multiLevelType w:val="hybridMultilevel"/>
    <w:tmpl w:val="0AC22CF0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71A58FE"/>
    <w:multiLevelType w:val="hybridMultilevel"/>
    <w:tmpl w:val="D5BC3096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294A403A"/>
    <w:multiLevelType w:val="multilevel"/>
    <w:tmpl w:val="50D0B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A6458DD"/>
    <w:multiLevelType w:val="hybridMultilevel"/>
    <w:tmpl w:val="702A9EA6"/>
    <w:lvl w:ilvl="0" w:tplc="D372756A">
      <w:start w:val="1"/>
      <w:numFmt w:val="bullet"/>
      <w:lvlText w:val=""/>
      <w:lvlJc w:val="left"/>
      <w:pPr>
        <w:ind w:left="1330" w:hanging="480"/>
      </w:pPr>
      <w:rPr>
        <w:rFonts w:ascii="Wingdings" w:hAnsi="Wingdings" w:hint="default"/>
        <w:sz w:val="16"/>
        <w:szCs w:val="16"/>
      </w:rPr>
    </w:lvl>
    <w:lvl w:ilvl="1" w:tplc="04090019" w:tentative="1">
      <w:start w:val="1"/>
      <w:numFmt w:val="ideographTraditional"/>
      <w:lvlText w:val="%2、"/>
      <w:lvlJc w:val="left"/>
      <w:pPr>
        <w:ind w:left="1810" w:hanging="480"/>
      </w:pPr>
    </w:lvl>
    <w:lvl w:ilvl="2" w:tplc="0409001B" w:tentative="1">
      <w:start w:val="1"/>
      <w:numFmt w:val="lowerRoman"/>
      <w:lvlText w:val="%3."/>
      <w:lvlJc w:val="right"/>
      <w:pPr>
        <w:ind w:left="2290" w:hanging="480"/>
      </w:pPr>
    </w:lvl>
    <w:lvl w:ilvl="3" w:tplc="0409000F" w:tentative="1">
      <w:start w:val="1"/>
      <w:numFmt w:val="decimal"/>
      <w:lvlText w:val="%4."/>
      <w:lvlJc w:val="left"/>
      <w:pPr>
        <w:ind w:left="27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0" w:hanging="480"/>
      </w:pPr>
    </w:lvl>
    <w:lvl w:ilvl="5" w:tplc="0409001B" w:tentative="1">
      <w:start w:val="1"/>
      <w:numFmt w:val="lowerRoman"/>
      <w:lvlText w:val="%6."/>
      <w:lvlJc w:val="right"/>
      <w:pPr>
        <w:ind w:left="3730" w:hanging="480"/>
      </w:pPr>
    </w:lvl>
    <w:lvl w:ilvl="6" w:tplc="0409000F" w:tentative="1">
      <w:start w:val="1"/>
      <w:numFmt w:val="decimal"/>
      <w:lvlText w:val="%7."/>
      <w:lvlJc w:val="left"/>
      <w:pPr>
        <w:ind w:left="42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0" w:hanging="480"/>
      </w:pPr>
    </w:lvl>
    <w:lvl w:ilvl="8" w:tplc="0409001B" w:tentative="1">
      <w:start w:val="1"/>
      <w:numFmt w:val="lowerRoman"/>
      <w:lvlText w:val="%9."/>
      <w:lvlJc w:val="right"/>
      <w:pPr>
        <w:ind w:left="5170" w:hanging="480"/>
      </w:pPr>
    </w:lvl>
  </w:abstractNum>
  <w:abstractNum w:abstractNumId="11" w15:restartNumberingAfterBreak="0">
    <w:nsid w:val="3E271E7F"/>
    <w:multiLevelType w:val="hybridMultilevel"/>
    <w:tmpl w:val="5B30AA7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417F6485"/>
    <w:multiLevelType w:val="hybridMultilevel"/>
    <w:tmpl w:val="429E1B5C"/>
    <w:lvl w:ilvl="0" w:tplc="C172E90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462D7DAA"/>
    <w:multiLevelType w:val="hybridMultilevel"/>
    <w:tmpl w:val="A9F82786"/>
    <w:lvl w:ilvl="0" w:tplc="66764CDA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4" w15:restartNumberingAfterBreak="0">
    <w:nsid w:val="4BF41821"/>
    <w:multiLevelType w:val="hybridMultilevel"/>
    <w:tmpl w:val="85D6DE3E"/>
    <w:lvl w:ilvl="0" w:tplc="04090001">
      <w:start w:val="1"/>
      <w:numFmt w:val="bullet"/>
      <w:lvlText w:val=""/>
      <w:lvlJc w:val="left"/>
      <w:pPr>
        <w:ind w:left="61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9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5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3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1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9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7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55" w:hanging="480"/>
      </w:pPr>
      <w:rPr>
        <w:rFonts w:ascii="Wingdings" w:hAnsi="Wingdings" w:hint="default"/>
      </w:rPr>
    </w:lvl>
  </w:abstractNum>
  <w:abstractNum w:abstractNumId="15" w15:restartNumberingAfterBreak="0">
    <w:nsid w:val="4F5B17F3"/>
    <w:multiLevelType w:val="hybridMultilevel"/>
    <w:tmpl w:val="EC1C8910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6" w15:restartNumberingAfterBreak="0">
    <w:nsid w:val="5A204E70"/>
    <w:multiLevelType w:val="hybridMultilevel"/>
    <w:tmpl w:val="C84A4B0A"/>
    <w:lvl w:ilvl="0" w:tplc="55A05BA0">
      <w:start w:val="1"/>
      <w:numFmt w:val="bullet"/>
      <w:lvlText w:val=""/>
      <w:lvlJc w:val="left"/>
      <w:pPr>
        <w:ind w:left="1472" w:hanging="480"/>
      </w:pPr>
      <w:rPr>
        <w:rFonts w:ascii="Wingdings" w:hAnsi="Wingdings" w:hint="default"/>
        <w:sz w:val="16"/>
        <w:szCs w:val="16"/>
      </w:rPr>
    </w:lvl>
    <w:lvl w:ilvl="1" w:tplc="04090003" w:tentative="1">
      <w:start w:val="1"/>
      <w:numFmt w:val="bullet"/>
      <w:lvlText w:val=""/>
      <w:lvlJc w:val="left"/>
      <w:pPr>
        <w:ind w:left="195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3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1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9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7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5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3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312" w:hanging="480"/>
      </w:pPr>
      <w:rPr>
        <w:rFonts w:ascii="Wingdings" w:hAnsi="Wingdings" w:hint="default"/>
      </w:rPr>
    </w:lvl>
  </w:abstractNum>
  <w:abstractNum w:abstractNumId="17" w15:restartNumberingAfterBreak="0">
    <w:nsid w:val="5C8F1313"/>
    <w:multiLevelType w:val="multilevel"/>
    <w:tmpl w:val="EA8CA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5D02CD0"/>
    <w:multiLevelType w:val="hybridMultilevel"/>
    <w:tmpl w:val="B2CA7D70"/>
    <w:lvl w:ilvl="0" w:tplc="B8A6347E">
      <w:start w:val="1"/>
      <w:numFmt w:val="bullet"/>
      <w:lvlText w:val=""/>
      <w:lvlJc w:val="left"/>
      <w:pPr>
        <w:ind w:left="1472" w:hanging="480"/>
      </w:pPr>
      <w:rPr>
        <w:rFonts w:ascii="Wingdings" w:hAnsi="Wingdings" w:hint="default"/>
        <w:sz w:val="16"/>
        <w:szCs w:val="16"/>
      </w:rPr>
    </w:lvl>
    <w:lvl w:ilvl="1" w:tplc="04090003" w:tentative="1">
      <w:start w:val="1"/>
      <w:numFmt w:val="bullet"/>
      <w:lvlText w:val=""/>
      <w:lvlJc w:val="left"/>
      <w:pPr>
        <w:ind w:left="195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3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1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9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7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5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3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312" w:hanging="480"/>
      </w:pPr>
      <w:rPr>
        <w:rFonts w:ascii="Wingdings" w:hAnsi="Wingdings" w:hint="default"/>
      </w:rPr>
    </w:lvl>
  </w:abstractNum>
  <w:abstractNum w:abstractNumId="19" w15:restartNumberingAfterBreak="0">
    <w:nsid w:val="6B2F4140"/>
    <w:multiLevelType w:val="multilevel"/>
    <w:tmpl w:val="E9A40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1E1267C"/>
    <w:multiLevelType w:val="hybridMultilevel"/>
    <w:tmpl w:val="F09AD0B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1" w15:restartNumberingAfterBreak="0">
    <w:nsid w:val="72F625D4"/>
    <w:multiLevelType w:val="hybridMultilevel"/>
    <w:tmpl w:val="D784688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16"/>
  </w:num>
  <w:num w:numId="3">
    <w:abstractNumId w:val="18"/>
  </w:num>
  <w:num w:numId="4">
    <w:abstractNumId w:val="10"/>
  </w:num>
  <w:num w:numId="5">
    <w:abstractNumId w:val="1"/>
  </w:num>
  <w:num w:numId="6">
    <w:abstractNumId w:val="17"/>
    <w:lvlOverride w:ilvl="0">
      <w:startOverride w:val="50"/>
    </w:lvlOverride>
  </w:num>
  <w:num w:numId="7">
    <w:abstractNumId w:val="19"/>
    <w:lvlOverride w:ilvl="0">
      <w:startOverride w:val="50"/>
    </w:lvlOverride>
  </w:num>
  <w:num w:numId="8">
    <w:abstractNumId w:val="9"/>
    <w:lvlOverride w:ilvl="0">
      <w:startOverride w:val="50"/>
    </w:lvlOverride>
  </w:num>
  <w:num w:numId="9">
    <w:abstractNumId w:val="0"/>
  </w:num>
  <w:num w:numId="10">
    <w:abstractNumId w:val="12"/>
  </w:num>
  <w:num w:numId="11">
    <w:abstractNumId w:val="7"/>
  </w:num>
  <w:num w:numId="12">
    <w:abstractNumId w:val="13"/>
  </w:num>
  <w:num w:numId="13">
    <w:abstractNumId w:val="2"/>
  </w:num>
  <w:num w:numId="14">
    <w:abstractNumId w:val="14"/>
  </w:num>
  <w:num w:numId="15">
    <w:abstractNumId w:val="3"/>
  </w:num>
  <w:num w:numId="16">
    <w:abstractNumId w:val="15"/>
  </w:num>
  <w:num w:numId="17">
    <w:abstractNumId w:val="4"/>
  </w:num>
  <w:num w:numId="18">
    <w:abstractNumId w:val="11"/>
  </w:num>
  <w:num w:numId="19">
    <w:abstractNumId w:val="6"/>
  </w:num>
  <w:num w:numId="20">
    <w:abstractNumId w:val="20"/>
  </w:num>
  <w:num w:numId="21">
    <w:abstractNumId w:val="21"/>
  </w:num>
  <w:num w:numId="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E7C"/>
    <w:rsid w:val="000001ED"/>
    <w:rsid w:val="000123C8"/>
    <w:rsid w:val="000A0C7B"/>
    <w:rsid w:val="000C3765"/>
    <w:rsid w:val="000E23C8"/>
    <w:rsid w:val="000E4E2C"/>
    <w:rsid w:val="001539BA"/>
    <w:rsid w:val="00193662"/>
    <w:rsid w:val="00222EC2"/>
    <w:rsid w:val="00242D52"/>
    <w:rsid w:val="0025599C"/>
    <w:rsid w:val="002F3773"/>
    <w:rsid w:val="00327E7C"/>
    <w:rsid w:val="00336CF7"/>
    <w:rsid w:val="0035246C"/>
    <w:rsid w:val="003774B2"/>
    <w:rsid w:val="003D7AC5"/>
    <w:rsid w:val="00470362"/>
    <w:rsid w:val="0048748A"/>
    <w:rsid w:val="004E5176"/>
    <w:rsid w:val="00524E97"/>
    <w:rsid w:val="005C2C44"/>
    <w:rsid w:val="006246DD"/>
    <w:rsid w:val="006725E3"/>
    <w:rsid w:val="00685685"/>
    <w:rsid w:val="006C3651"/>
    <w:rsid w:val="006F3D2F"/>
    <w:rsid w:val="00776C44"/>
    <w:rsid w:val="007D1A24"/>
    <w:rsid w:val="00821C4D"/>
    <w:rsid w:val="00827BC1"/>
    <w:rsid w:val="00852597"/>
    <w:rsid w:val="008539D8"/>
    <w:rsid w:val="00880054"/>
    <w:rsid w:val="00886601"/>
    <w:rsid w:val="008E7C38"/>
    <w:rsid w:val="008F360F"/>
    <w:rsid w:val="009615C9"/>
    <w:rsid w:val="009917DA"/>
    <w:rsid w:val="009B72B0"/>
    <w:rsid w:val="009E7E4B"/>
    <w:rsid w:val="009F7CBA"/>
    <w:rsid w:val="00A21F4C"/>
    <w:rsid w:val="00A26A59"/>
    <w:rsid w:val="00A94656"/>
    <w:rsid w:val="00C25A1C"/>
    <w:rsid w:val="00C44DA4"/>
    <w:rsid w:val="00C840D5"/>
    <w:rsid w:val="00DB5C43"/>
    <w:rsid w:val="00E3242F"/>
    <w:rsid w:val="00E414B8"/>
    <w:rsid w:val="00E71AA3"/>
    <w:rsid w:val="00EB428D"/>
    <w:rsid w:val="00F556CC"/>
    <w:rsid w:val="00FB2798"/>
    <w:rsid w:val="00FB2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06A85A"/>
  <w15:chartTrackingRefBased/>
  <w15:docId w15:val="{064CD03D-018E-45E9-9770-A5897D0CA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327E7C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Strong"/>
    <w:basedOn w:val="a0"/>
    <w:uiPriority w:val="22"/>
    <w:qFormat/>
    <w:rsid w:val="00327E7C"/>
    <w:rPr>
      <w:b/>
      <w:bCs/>
    </w:rPr>
  </w:style>
  <w:style w:type="paragraph" w:styleId="a4">
    <w:name w:val="List Paragraph"/>
    <w:basedOn w:val="a"/>
    <w:uiPriority w:val="34"/>
    <w:qFormat/>
    <w:rsid w:val="00821C4D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0E23C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0E23C8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0E23C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0E23C8"/>
    <w:rPr>
      <w:sz w:val="20"/>
      <w:szCs w:val="20"/>
    </w:rPr>
  </w:style>
  <w:style w:type="table" w:styleId="a9">
    <w:name w:val="Grid Table Light"/>
    <w:basedOn w:val="a1"/>
    <w:uiPriority w:val="40"/>
    <w:rsid w:val="00E414B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Default">
    <w:name w:val="Default"/>
    <w:rsid w:val="00C840D5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123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731112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150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Hsu Kuang-Jung</dc:creator>
  <cp:keywords/>
  <dc:description/>
  <cp:lastModifiedBy>doctor</cp:lastModifiedBy>
  <cp:revision>2</cp:revision>
  <dcterms:created xsi:type="dcterms:W3CDTF">2022-09-30T01:06:00Z</dcterms:created>
  <dcterms:modified xsi:type="dcterms:W3CDTF">2022-09-30T01:06:00Z</dcterms:modified>
</cp:coreProperties>
</file>