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13AA0C4" w14:textId="44FB4E01" w:rsidR="000E4E2C" w:rsidRDefault="00880054" w:rsidP="000E4E2C">
      <w:pPr>
        <w:jc w:val="center"/>
        <w:rPr>
          <w:rFonts w:eastAsia="標楷體" w:cs="Times New Roman"/>
          <w:color w:val="3366FF"/>
          <w:sz w:val="96"/>
          <w:szCs w:val="96"/>
        </w:rPr>
      </w:pPr>
      <w:r>
        <w:rPr>
          <w:noProof/>
        </w:rPr>
        <w:drawing>
          <wp:anchor distT="0" distB="0" distL="114300" distR="114300" simplePos="0" relativeHeight="251661312" behindDoc="0" locked="0" layoutInCell="1" allowOverlap="1" wp14:anchorId="7E2A1AEF" wp14:editId="2040AFA9">
            <wp:simplePos x="0" y="0"/>
            <wp:positionH relativeFrom="column">
              <wp:posOffset>36662</wp:posOffset>
            </wp:positionH>
            <wp:positionV relativeFrom="paragraph">
              <wp:posOffset>286828</wp:posOffset>
            </wp:positionV>
            <wp:extent cx="1143000" cy="874395"/>
            <wp:effectExtent l="19050" t="0" r="0" b="0"/>
            <wp:wrapNone/>
            <wp:docPr id="5" name="圖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8"/>
                    <pic:cNvPicPr>
                      <a:picLocks noChangeAspect="1" noChangeArrowheads="1"/>
                    </pic:cNvPicPr>
                  </pic:nvPicPr>
                  <pic:blipFill>
                    <a:blip r:embed="rId7"/>
                    <a:srcRect/>
                    <a:stretch>
                      <a:fillRect/>
                    </a:stretch>
                  </pic:blipFill>
                  <pic:spPr bwMode="auto">
                    <a:xfrm>
                      <a:off x="0" y="0"/>
                      <a:ext cx="1143000" cy="874395"/>
                    </a:xfrm>
                    <a:prstGeom prst="rect">
                      <a:avLst/>
                    </a:prstGeom>
                    <a:noFill/>
                  </pic:spPr>
                </pic:pic>
              </a:graphicData>
            </a:graphic>
          </wp:anchor>
        </w:drawing>
      </w:r>
      <w:r>
        <w:rPr>
          <w:noProof/>
        </w:rPr>
        <mc:AlternateContent>
          <mc:Choice Requires="wps">
            <w:drawing>
              <wp:anchor distT="0" distB="0" distL="114300" distR="114300" simplePos="0" relativeHeight="251659264" behindDoc="0" locked="0" layoutInCell="1" allowOverlap="1" wp14:anchorId="11363CDF" wp14:editId="1F5DB9D0">
                <wp:simplePos x="0" y="0"/>
                <wp:positionH relativeFrom="margin">
                  <wp:align>right</wp:align>
                </wp:positionH>
                <wp:positionV relativeFrom="paragraph">
                  <wp:posOffset>267131</wp:posOffset>
                </wp:positionV>
                <wp:extent cx="1417320" cy="970280"/>
                <wp:effectExtent l="0" t="0" r="11430" b="20320"/>
                <wp:wrapNone/>
                <wp:docPr id="7" name="文字方塊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17320" cy="970280"/>
                        </a:xfrm>
                        <a:prstGeom prst="rect">
                          <a:avLst/>
                        </a:prstGeom>
                        <a:solidFill>
                          <a:srgbClr val="99CC00"/>
                        </a:solidFill>
                        <a:ln w="9525">
                          <a:solidFill>
                            <a:srgbClr val="99CC00"/>
                          </a:solidFill>
                          <a:miter lim="800000"/>
                          <a:headEnd/>
                          <a:tailEnd/>
                        </a:ln>
                      </wps:spPr>
                      <wps:txbx>
                        <w:txbxContent>
                          <w:p w14:paraId="5CFD3658" w14:textId="77777777" w:rsidR="000E4E2C" w:rsidRPr="00D973EE" w:rsidRDefault="000E4E2C" w:rsidP="000E4E2C">
                            <w:pPr>
                              <w:rPr>
                                <w:rFonts w:eastAsia="標楷體" w:cs="Times New Roman"/>
                              </w:rPr>
                            </w:pPr>
                            <w:r w:rsidRPr="00D973EE">
                              <w:rPr>
                                <w:rFonts w:eastAsia="標楷體" w:hAnsi="標楷體" w:cs="標楷體" w:hint="eastAsia"/>
                              </w:rPr>
                              <w:t>出版單位：藥劑科</w:t>
                            </w:r>
                          </w:p>
                          <w:p w14:paraId="791AACAD" w14:textId="77777777" w:rsidR="000E4E2C" w:rsidRPr="00D973EE" w:rsidRDefault="000E4E2C" w:rsidP="000E4E2C">
                            <w:pPr>
                              <w:rPr>
                                <w:rFonts w:eastAsia="標楷體" w:cs="Times New Roman"/>
                              </w:rPr>
                            </w:pPr>
                            <w:r w:rsidRPr="00D973EE">
                              <w:rPr>
                                <w:rFonts w:eastAsia="標楷體" w:hAnsi="標楷體" w:cs="標楷體" w:hint="eastAsia"/>
                              </w:rPr>
                              <w:t>聯絡電話：</w:t>
                            </w:r>
                          </w:p>
                          <w:p w14:paraId="0F5F5978" w14:textId="77777777" w:rsidR="000E4E2C" w:rsidRPr="00D973EE" w:rsidRDefault="000E4E2C" w:rsidP="000E4E2C">
                            <w:pPr>
                              <w:rPr>
                                <w:rFonts w:eastAsia="標楷體" w:cs="Times New Roman"/>
                              </w:rPr>
                            </w:pPr>
                            <w:r>
                              <w:rPr>
                                <w:rFonts w:eastAsia="標楷體"/>
                              </w:rPr>
                              <w:t>4629292</w:t>
                            </w:r>
                            <w:r w:rsidRPr="00D973EE">
                              <w:rPr>
                                <w:rFonts w:eastAsia="標楷體"/>
                              </w:rPr>
                              <w:t>-</w:t>
                            </w:r>
                            <w:r>
                              <w:rPr>
                                <w:rFonts w:eastAsia="標楷體"/>
                              </w:rPr>
                              <w:t>22525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1363CDF" id="_x0000_t202" coordsize="21600,21600" o:spt="202" path="m,l,21600r21600,l21600,xe">
                <v:stroke joinstyle="miter"/>
                <v:path gradientshapeok="t" o:connecttype="rect"/>
              </v:shapetype>
              <v:shape id="文字方塊 9" o:spid="_x0000_s1026" type="#_x0000_t202" style="position:absolute;left:0;text-align:left;margin-left:60.4pt;margin-top:21.05pt;width:111.6pt;height:76.4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" fillcolor="#9c0" strokecolor="#9c0">
                <v:textbox>
                  <w:txbxContent>
                    <w:p w14:paraId="5CFD3658" w14:textId="77777777" w:rsidR="000E4E2C" w:rsidRPr="00D973EE" w:rsidRDefault="000E4E2C" w:rsidP="000E4E2C">
                      <w:pPr>
                        <w:rPr>
                          <w:rFonts w:eastAsia="標楷體" w:cs="Times New Roman"/>
                        </w:rPr>
                      </w:pPr>
                      <w:r w:rsidRPr="00D973EE">
                        <w:rPr>
                          <w:rFonts w:eastAsia="標楷體" w:hAnsi="標楷體" w:cs="標楷體" w:hint="eastAsia"/>
                        </w:rPr>
                        <w:t>出版單位：藥劑科</w:t>
                      </w:r>
                    </w:p>
                    <w:p w14:paraId="791AACAD" w14:textId="77777777" w:rsidR="000E4E2C" w:rsidRPr="00D973EE" w:rsidRDefault="000E4E2C" w:rsidP="000E4E2C">
                      <w:pPr>
                        <w:rPr>
                          <w:rFonts w:eastAsia="標楷體" w:cs="Times New Roman"/>
                        </w:rPr>
                      </w:pPr>
                      <w:r w:rsidRPr="00D973EE">
                        <w:rPr>
                          <w:rFonts w:eastAsia="標楷體" w:hAnsi="標楷體" w:cs="標楷體" w:hint="eastAsia"/>
                        </w:rPr>
                        <w:t>聯絡電話：</w:t>
                      </w:r>
                    </w:p>
                    <w:p w14:paraId="0F5F5978" w14:textId="77777777" w:rsidR="000E4E2C" w:rsidRPr="00D973EE" w:rsidRDefault="000E4E2C" w:rsidP="000E4E2C">
                      <w:pPr>
                        <w:rPr>
                          <w:rFonts w:eastAsia="標楷體" w:cs="Times New Roman"/>
                        </w:rPr>
                      </w:pPr>
                      <w:r>
                        <w:rPr>
                          <w:rFonts w:eastAsia="標楷體"/>
                        </w:rPr>
                        <w:t>4629292</w:t>
                      </w:r>
                      <w:r w:rsidRPr="00D973EE">
                        <w:rPr>
                          <w:rFonts w:eastAsia="標楷體"/>
                        </w:rPr>
                        <w:t>-</w:t>
                      </w:r>
                      <w:r>
                        <w:rPr>
                          <w:rFonts w:eastAsia="標楷體"/>
                        </w:rPr>
                        <w:t>22525</w:t>
                      </w:r>
                    </w:p>
                  </w:txbxContent>
                </v:textbox>
                <w10:wrap anchorx="margin"/>
              </v:shape>
            </w:pict>
          </mc:Fallback>
        </mc:AlternateContent>
      </w:r>
      <w:r>
        <w:rPr>
          <w:noProof/>
        </w:rPr>
        <mc:AlternateContent>
          <mc:Choice Requires="wps">
            <w:drawing>
              <wp:anchor distT="0" distB="0" distL="114300" distR="114300" simplePos="0" relativeHeight="251662336" behindDoc="1" locked="0" layoutInCell="1" allowOverlap="1" wp14:anchorId="42B77065" wp14:editId="1BDDDCAF">
                <wp:simplePos x="0" y="0"/>
                <wp:positionH relativeFrom="margin">
                  <wp:align>left</wp:align>
                </wp:positionH>
                <wp:positionV relativeFrom="paragraph">
                  <wp:posOffset>250166</wp:posOffset>
                </wp:positionV>
                <wp:extent cx="5257800" cy="1371600"/>
                <wp:effectExtent l="0" t="0" r="0" b="0"/>
                <wp:wrapNone/>
                <wp:docPr id="4" name="矩形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57800" cy="1371600"/>
                        </a:xfrm>
                        <a:prstGeom prst="rect">
                          <a:avLst/>
                        </a:prstGeom>
                        <a:solidFill>
                          <a:srgbClr val="FFFF99">
                            <a:alpha val="50195"/>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A414E65" id="矩形 7" o:spid="_x0000_s1026" style="position:absolute;margin-left:0;margin-top:19.7pt;width:414pt;height:108pt;z-index:-25165414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" fillcolor="#ff9" stroked="f">
                <v:fill opacity="32896f"/>
                <w10:wrap anchorx="margin"/>
              </v:rect>
            </w:pict>
          </mc:Fallback>
        </mc:AlternateContent>
      </w:r>
      <w:r w:rsidR="000E4E2C">
        <w:rPr>
          <w:noProof/>
        </w:rPr>
        <mc:AlternateContent>
          <mc:Choice Requires="wps">
            <w:drawing>
              <wp:anchor distT="0" distB="0" distL="114300" distR="114300" simplePos="0" relativeHeight="251660288" behindDoc="0" locked="0" layoutInCell="1" allowOverlap="1" wp14:anchorId="28070E9F" wp14:editId="77EC5E5E">
                <wp:simplePos x="0" y="0"/>
                <wp:positionH relativeFrom="column">
                  <wp:posOffset>1363345</wp:posOffset>
                </wp:positionH>
                <wp:positionV relativeFrom="paragraph">
                  <wp:posOffset>800100</wp:posOffset>
                </wp:positionV>
                <wp:extent cx="2857500" cy="571500"/>
                <wp:effectExtent l="0" t="0" r="0" b="0"/>
                <wp:wrapNone/>
                <wp:docPr id="6" name="文字方塊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750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0CC77B1" w14:textId="77777777" w:rsidR="000E4E2C" w:rsidRPr="007B33FB" w:rsidRDefault="000E4E2C" w:rsidP="000E4E2C">
                            <w:pPr>
                              <w:spacing w:line="320" w:lineRule="exact"/>
                              <w:rPr>
                                <w:rFonts w:eastAsia="標楷體"/>
                                <w:sz w:val="36"/>
                                <w:szCs w:val="36"/>
                              </w:rPr>
                            </w:pPr>
                            <w:r w:rsidRPr="007B33FB">
                              <w:rPr>
                                <w:rFonts w:eastAsia="標楷體"/>
                                <w:sz w:val="36"/>
                                <w:szCs w:val="36"/>
                              </w:rPr>
                              <w:t>Ten-Chan Medical group</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070E9F" id="文字方塊 10" o:spid="_x0000_s1027" type="#_x0000_t202" style="position:absolute;left:0;text-align:left;margin-left:107.35pt;margin-top:63pt;width:225pt;height: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" filled="f" stroked="f">
                <v:textbox>
                  <w:txbxContent>
                    <w:p w14:paraId="60CC77B1" w14:textId="77777777" w:rsidR="000E4E2C" w:rsidRPr="007B33FB" w:rsidRDefault="000E4E2C" w:rsidP="000E4E2C">
                      <w:pPr>
                        <w:spacing w:line="320" w:lineRule="exact"/>
                        <w:rPr>
                          <w:rFonts w:eastAsia="標楷體"/>
                          <w:sz w:val="36"/>
                          <w:szCs w:val="36"/>
                        </w:rPr>
                      </w:pPr>
                      <w:r w:rsidRPr="007B33FB">
                        <w:rPr>
                          <w:rFonts w:eastAsia="標楷體"/>
                          <w:sz w:val="36"/>
                          <w:szCs w:val="36"/>
                        </w:rPr>
                        <w:t>Ten-Chan Medical group</w:t>
                      </w:r>
                    </w:p>
                  </w:txbxContent>
                </v:textbox>
              </v:shape>
            </w:pict>
          </mc:Fallback>
        </mc:AlternateContent>
      </w:r>
      <w:r w:rsidR="000E4E2C">
        <w:rPr>
          <w:rFonts w:eastAsia="標楷體" w:cs="標楷體" w:hint="eastAsia"/>
          <w:color w:val="3366FF"/>
          <w:sz w:val="96"/>
          <w:szCs w:val="96"/>
        </w:rPr>
        <w:t>藥訊</w:t>
      </w:r>
    </w:p>
    <w:p w14:paraId="1719C1E6" w14:textId="77777777" w:rsidR="000E4E2C" w:rsidRDefault="000E4E2C" w:rsidP="00327E7C">
      <w:pPr>
        <w:jc w:val="center"/>
        <w:rPr>
          <w:rFonts w:ascii="標楷體" w:eastAsia="標楷體" w:hAnsi="標楷體"/>
          <w:b/>
          <w:bCs/>
          <w:color w:val="FF0000"/>
        </w:rPr>
      </w:pPr>
    </w:p>
    <w:p w14:paraId="52304B54" w14:textId="0A5F72C1" w:rsidR="000E4E2C" w:rsidRPr="00880054" w:rsidRDefault="00880054" w:rsidP="00880054">
      <w:pPr>
        <w:jc w:val="right"/>
        <w:rPr>
          <w:rFonts w:eastAsia="標楷體"/>
          <w:b/>
          <w:bCs/>
          <w:color w:val="7030A0"/>
          <w:sz w:val="28"/>
          <w:szCs w:val="28"/>
        </w:rPr>
      </w:pPr>
      <w:r>
        <w:rPr>
          <w:rFonts w:ascii="標楷體" w:eastAsia="標楷體" w:hAnsi="標楷體"/>
          <w:b/>
          <w:bCs/>
          <w:color w:val="FF0000"/>
        </w:rPr>
        <w:tab/>
      </w:r>
      <w:r>
        <w:rPr>
          <w:noProof/>
        </w:rPr>
        <mc:AlternateContent>
          <mc:Choice Requires="wps">
            <w:drawing>
              <wp:anchor distT="0" distB="0" distL="114300" distR="114300" simplePos="0" relativeHeight="251664384" behindDoc="1" locked="0" layoutInCell="1" allowOverlap="1" wp14:anchorId="281A471C" wp14:editId="1326CDA6">
                <wp:simplePos x="0" y="0"/>
                <wp:positionH relativeFrom="column">
                  <wp:posOffset>228600</wp:posOffset>
                </wp:positionH>
                <wp:positionV relativeFrom="paragraph">
                  <wp:posOffset>0</wp:posOffset>
                </wp:positionV>
                <wp:extent cx="2971800" cy="457200"/>
                <wp:effectExtent l="0" t="0" r="0" b="0"/>
                <wp:wrapNone/>
                <wp:docPr id="3" name="文字方塊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180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3CF947" w14:textId="77777777" w:rsidR="00880054" w:rsidRDefault="00880054" w:rsidP="00880054">
                            <w:pPr>
                              <w:rPr>
                                <w:rFonts w:eastAsia="標楷體" w:cs="Times New Roman"/>
                                <w:color w:val="FF0000"/>
                                <w:sz w:val="28"/>
                                <w:szCs w:val="28"/>
                              </w:rPr>
                            </w:pPr>
                            <w:r>
                              <w:rPr>
                                <w:rFonts w:eastAsia="標楷體" w:cs="標楷體" w:hint="eastAsia"/>
                                <w:color w:val="FF0000"/>
                                <w:sz w:val="28"/>
                                <w:szCs w:val="28"/>
                              </w:rPr>
                              <w:t>健康、真愛、天成心</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1A471C" id="文字方塊 6" o:spid="_x0000_s1028" type="#_x0000_t202" style="position:absolute;left:0;text-align:left;margin-left:18pt;margin-top:0;width:234pt;height:36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" filled="f" stroked="f">
                <v:textbox>
                  <w:txbxContent>
                    <w:p w14:paraId="713CF947" w14:textId="77777777" w:rsidR="00880054" w:rsidRDefault="00880054" w:rsidP="00880054">
                      <w:pPr>
                        <w:rPr>
                          <w:rFonts w:eastAsia="標楷體" w:cs="Times New Roman"/>
                          <w:color w:val="FF0000"/>
                          <w:sz w:val="28"/>
                          <w:szCs w:val="28"/>
                        </w:rPr>
                      </w:pPr>
                      <w:r>
                        <w:rPr>
                          <w:rFonts w:eastAsia="標楷體" w:cs="標楷體" w:hint="eastAsia"/>
                          <w:color w:val="FF0000"/>
                          <w:sz w:val="28"/>
                          <w:szCs w:val="28"/>
                        </w:rPr>
                        <w:t>健康、真愛、天成心</w:t>
                      </w:r>
                    </w:p>
                  </w:txbxContent>
                </v:textbox>
              </v:shape>
            </w:pict>
          </mc:Fallback>
        </mc:AlternateContent>
      </w:r>
      <w:r>
        <w:rPr>
          <w:rFonts w:eastAsia="標楷體" w:cs="標楷體" w:hint="eastAsia"/>
          <w:color w:val="FF0000"/>
          <w:sz w:val="40"/>
          <w:szCs w:val="40"/>
        </w:rPr>
        <w:t>期別</w:t>
      </w:r>
      <w:r w:rsidRPr="005A5E7E">
        <w:rPr>
          <w:rFonts w:eastAsia="標楷體"/>
          <w:b/>
          <w:bCs/>
          <w:color w:val="7030A0"/>
          <w:sz w:val="28"/>
          <w:szCs w:val="28"/>
        </w:rPr>
        <w:t>No.</w:t>
      </w:r>
      <w:r>
        <w:rPr>
          <w:rFonts w:eastAsia="標楷體" w:hint="eastAsia"/>
          <w:b/>
          <w:bCs/>
          <w:color w:val="7030A0"/>
          <w:sz w:val="28"/>
          <w:szCs w:val="28"/>
        </w:rPr>
        <w:t>1</w:t>
      </w:r>
      <w:r>
        <w:rPr>
          <w:rFonts w:eastAsia="標楷體"/>
          <w:b/>
          <w:bCs/>
          <w:color w:val="7030A0"/>
          <w:sz w:val="28"/>
          <w:szCs w:val="28"/>
        </w:rPr>
        <w:t>110</w:t>
      </w:r>
      <w:r w:rsidR="000123C8">
        <w:rPr>
          <w:rFonts w:eastAsia="標楷體" w:hint="eastAsia"/>
          <w:b/>
          <w:bCs/>
          <w:color w:val="7030A0"/>
          <w:sz w:val="28"/>
          <w:szCs w:val="28"/>
        </w:rPr>
        <w:t>8</w:t>
      </w:r>
    </w:p>
    <w:p w14:paraId="7DC19381" w14:textId="77777777" w:rsidR="00880054" w:rsidRDefault="00880054" w:rsidP="00327E7C">
      <w:pPr>
        <w:jc w:val="center"/>
        <w:rPr>
          <w:rFonts w:ascii="標楷體" w:eastAsia="標楷體" w:hAnsi="標楷體"/>
          <w:b/>
          <w:bCs/>
          <w:color w:val="FF0000"/>
        </w:rPr>
      </w:pPr>
    </w:p>
    <w:p w14:paraId="10A60655" w14:textId="31047DD9" w:rsidR="00827BC1" w:rsidRPr="000123C8" w:rsidRDefault="000123C8" w:rsidP="00827BC1">
      <w:pPr>
        <w:jc w:val="center"/>
        <w:rPr>
          <w:rFonts w:ascii="Times New Roman" w:eastAsia="標楷體" w:hAnsi="Times New Roman" w:cs="Times New Roman"/>
          <w:color w:val="FF0000"/>
          <w:sz w:val="36"/>
          <w:szCs w:val="36"/>
          <w:shd w:val="clear" w:color="auto" w:fill="FFFFFF"/>
        </w:rPr>
      </w:pPr>
      <w:r w:rsidRPr="000123C8">
        <w:rPr>
          <w:rFonts w:ascii="Times New Roman" w:hAnsi="Times New Roman" w:cs="Times New Roman"/>
          <w:color w:val="FF0000"/>
          <w:sz w:val="36"/>
          <w:szCs w:val="36"/>
        </w:rPr>
        <w:t>Romosozumab</w:t>
      </w:r>
      <w:r w:rsidR="00827BC1" w:rsidRPr="000123C8">
        <w:rPr>
          <w:rFonts w:ascii="Times New Roman" w:eastAsia="標楷體" w:hAnsi="Times New Roman" w:cs="Times New Roman"/>
          <w:color w:val="FF0000"/>
          <w:sz w:val="36"/>
          <w:szCs w:val="36"/>
          <w:shd w:val="clear" w:color="auto" w:fill="FFFFFF"/>
        </w:rPr>
        <w:t xml:space="preserve"> (</w:t>
      </w:r>
      <w:r w:rsidRPr="000123C8">
        <w:rPr>
          <w:rFonts w:ascii="Times New Roman" w:hAnsi="Times New Roman" w:cs="Times New Roman"/>
          <w:color w:val="FF0000"/>
          <w:sz w:val="36"/>
          <w:szCs w:val="36"/>
        </w:rPr>
        <w:t>Evenity</w:t>
      </w:r>
      <w:r w:rsidRPr="000123C8">
        <w:rPr>
          <w:rFonts w:ascii="新細明體" w:eastAsia="新細明體" w:hAnsi="新細明體" w:cs="Times New Roman" w:hint="eastAsia"/>
          <w:color w:val="FF0000"/>
          <w:sz w:val="44"/>
          <w:szCs w:val="44"/>
          <w:vertAlign w:val="superscript"/>
        </w:rPr>
        <w:t>®</w:t>
      </w:r>
      <w:r w:rsidR="006F3D2F" w:rsidRPr="006F3D2F">
        <w:rPr>
          <w:rFonts w:ascii="標楷體" w:eastAsia="標楷體" w:hAnsi="標楷體"/>
          <w:color w:val="FF0000"/>
          <w:sz w:val="36"/>
          <w:szCs w:val="36"/>
        </w:rPr>
        <w:t>益穩挺 注射液</w:t>
      </w:r>
      <w:r w:rsidR="00827BC1" w:rsidRPr="000123C8">
        <w:rPr>
          <w:rFonts w:ascii="Times New Roman" w:eastAsia="標楷體" w:hAnsi="Times New Roman" w:cs="Times New Roman"/>
          <w:color w:val="FF0000"/>
          <w:sz w:val="36"/>
          <w:szCs w:val="36"/>
          <w:shd w:val="clear" w:color="auto" w:fill="FFFFFF"/>
        </w:rPr>
        <w:t>)</w:t>
      </w:r>
    </w:p>
    <w:p w14:paraId="3B2B222C" w14:textId="178FE599" w:rsidR="00327E7C" w:rsidRPr="006F3D2F" w:rsidRDefault="000123C8" w:rsidP="00827BC1">
      <w:pPr>
        <w:jc w:val="center"/>
        <w:rPr>
          <w:rFonts w:ascii="標楷體" w:eastAsia="標楷體" w:hAnsi="標楷體"/>
          <w:sz w:val="28"/>
          <w:szCs w:val="28"/>
        </w:rPr>
      </w:pPr>
      <w:r w:rsidRPr="006F3D2F">
        <w:rPr>
          <w:rFonts w:ascii="標楷體" w:eastAsia="標楷體" w:hAnsi="標楷體" w:hint="eastAsia"/>
          <w:sz w:val="28"/>
          <w:szCs w:val="28"/>
        </w:rPr>
        <w:t>饒子奇</w:t>
      </w:r>
      <w:r w:rsidR="00327E7C" w:rsidRPr="006F3D2F">
        <w:rPr>
          <w:rFonts w:ascii="標楷體" w:eastAsia="標楷體" w:hAnsi="標楷體" w:hint="eastAsia"/>
          <w:sz w:val="28"/>
          <w:szCs w:val="28"/>
        </w:rPr>
        <w:t>藥師</w:t>
      </w:r>
    </w:p>
    <w:p w14:paraId="70FE9281" w14:textId="57955127" w:rsidR="00E414B8" w:rsidRPr="006725E3" w:rsidRDefault="00827BC1" w:rsidP="00E414B8">
      <w:pPr>
        <w:pStyle w:val="a4"/>
        <w:numPr>
          <w:ilvl w:val="0"/>
          <w:numId w:val="9"/>
        </w:numPr>
        <w:ind w:leftChars="0"/>
        <w:rPr>
          <w:rFonts w:ascii="標楷體" w:eastAsia="標楷體" w:hAnsi="標楷體"/>
          <w:color w:val="333333"/>
          <w:sz w:val="28"/>
          <w:szCs w:val="28"/>
          <w:shd w:val="clear" w:color="auto" w:fill="FFFFFF"/>
        </w:rPr>
      </w:pPr>
      <w:r w:rsidRPr="006725E3">
        <w:rPr>
          <w:rFonts w:ascii="標楷體" w:eastAsia="標楷體" w:hAnsi="標楷體"/>
          <w:color w:val="FF0000"/>
          <w:sz w:val="28"/>
          <w:szCs w:val="28"/>
        </w:rPr>
        <w:t>治療適應症</w:t>
      </w:r>
      <w:r w:rsidR="00C44DA4" w:rsidRPr="006725E3">
        <w:rPr>
          <w:rFonts w:ascii="標楷體" w:eastAsia="標楷體" w:hAnsi="標楷體" w:hint="eastAsia"/>
          <w:color w:val="333333"/>
          <w:sz w:val="28"/>
          <w:szCs w:val="28"/>
          <w:shd w:val="clear" w:color="auto" w:fill="FFFFFF"/>
        </w:rPr>
        <w:t xml:space="preserve">    </w:t>
      </w:r>
    </w:p>
    <w:p w14:paraId="75BBE3CB" w14:textId="0E22119E" w:rsidR="00E414B8" w:rsidRPr="006725E3" w:rsidRDefault="006C3651" w:rsidP="007D1A24">
      <w:pPr>
        <w:pStyle w:val="a4"/>
        <w:ind w:leftChars="0" w:left="510" w:firstLineChars="150" w:firstLine="420"/>
        <w:rPr>
          <w:rFonts w:ascii="標楷體" w:eastAsia="標楷體" w:hAnsi="標楷體" w:cs="Arial"/>
          <w:color w:val="333333"/>
          <w:sz w:val="28"/>
          <w:szCs w:val="28"/>
          <w:shd w:val="clear" w:color="auto" w:fill="FFFFFF"/>
        </w:rPr>
      </w:pPr>
      <w:r>
        <w:rPr>
          <w:rFonts w:ascii="標楷體" w:eastAsia="標楷體" w:hAnsi="標楷體" w:hint="eastAsia"/>
          <w:sz w:val="28"/>
          <w:szCs w:val="28"/>
        </w:rPr>
        <w:t xml:space="preserve"> </w:t>
      </w:r>
      <w:r w:rsidR="006F3D2F" w:rsidRPr="006725E3">
        <w:rPr>
          <w:rFonts w:ascii="標楷體" w:eastAsia="標楷體" w:hAnsi="標楷體"/>
          <w:sz w:val="28"/>
          <w:szCs w:val="28"/>
        </w:rPr>
        <w:t>治療有高度骨折風險之停經後婦女骨質疏鬆症適用於治療有高度骨折風險之停經後婦女骨質疏鬆症，其定義為發生過骨質疏鬆性骨折，或具有多重骨折風險因子。</w:t>
      </w:r>
    </w:p>
    <w:p w14:paraId="7A9E006F" w14:textId="77777777" w:rsidR="00827BC1" w:rsidRPr="006725E3" w:rsidRDefault="00827BC1" w:rsidP="00827BC1">
      <w:pPr>
        <w:pStyle w:val="a4"/>
        <w:numPr>
          <w:ilvl w:val="0"/>
          <w:numId w:val="9"/>
        </w:numPr>
        <w:ind w:leftChars="0"/>
        <w:rPr>
          <w:rFonts w:ascii="標楷體" w:eastAsia="標楷體" w:hAnsi="標楷體" w:cs="Arial"/>
          <w:color w:val="FF0000"/>
          <w:sz w:val="28"/>
          <w:szCs w:val="28"/>
          <w:shd w:val="clear" w:color="auto" w:fill="FFFFFF"/>
        </w:rPr>
      </w:pPr>
      <w:r w:rsidRPr="006725E3">
        <w:rPr>
          <w:rFonts w:ascii="標楷體" w:eastAsia="標楷體" w:hAnsi="標楷體"/>
          <w:color w:val="FF0000"/>
          <w:sz w:val="28"/>
          <w:szCs w:val="28"/>
        </w:rPr>
        <w:t>用法用量</w:t>
      </w:r>
    </w:p>
    <w:p w14:paraId="71F77A97" w14:textId="77777777" w:rsidR="006725E3" w:rsidRDefault="00827BC1" w:rsidP="00F556CC">
      <w:pPr>
        <w:pStyle w:val="a4"/>
        <w:ind w:leftChars="0" w:left="510"/>
        <w:rPr>
          <w:rFonts w:ascii="標楷體" w:eastAsia="標楷體" w:hAnsi="標楷體"/>
          <w:sz w:val="28"/>
          <w:szCs w:val="28"/>
        </w:rPr>
      </w:pPr>
      <w:r w:rsidRPr="006725E3">
        <w:rPr>
          <w:rFonts w:ascii="標楷體" w:eastAsia="標楷體" w:hAnsi="標楷體" w:hint="eastAsia"/>
          <w:sz w:val="28"/>
          <w:szCs w:val="28"/>
        </w:rPr>
        <w:t xml:space="preserve">    </w:t>
      </w:r>
      <w:r w:rsidR="00F556CC" w:rsidRPr="006725E3">
        <w:rPr>
          <w:rFonts w:ascii="標楷體" w:eastAsia="標楷體" w:hAnsi="標楷體"/>
          <w:sz w:val="28"/>
          <w:szCs w:val="28"/>
        </w:rPr>
        <w:t xml:space="preserve">施打 </w:t>
      </w:r>
      <w:r w:rsidR="00F556CC" w:rsidRPr="006725E3">
        <w:rPr>
          <w:rFonts w:ascii="Times New Roman" w:eastAsia="標楷體" w:hAnsi="Times New Roman" w:cs="Times New Roman"/>
          <w:sz w:val="28"/>
          <w:szCs w:val="28"/>
        </w:rPr>
        <w:t>EVENITY</w:t>
      </w:r>
      <w:r w:rsidR="00F556CC" w:rsidRPr="006725E3">
        <w:rPr>
          <w:rFonts w:ascii="標楷體" w:eastAsia="標楷體" w:hAnsi="標楷體"/>
          <w:sz w:val="28"/>
          <w:szCs w:val="28"/>
        </w:rPr>
        <w:t xml:space="preserve"> 總劑量為</w:t>
      </w:r>
      <w:r w:rsidR="00F556CC" w:rsidRPr="006725E3">
        <w:rPr>
          <w:rFonts w:ascii="Times New Roman" w:eastAsia="標楷體" w:hAnsi="Times New Roman" w:cs="Times New Roman"/>
          <w:sz w:val="28"/>
          <w:szCs w:val="28"/>
        </w:rPr>
        <w:t xml:space="preserve"> 210 </w:t>
      </w:r>
      <w:r w:rsidR="00F556CC" w:rsidRPr="006725E3">
        <w:rPr>
          <w:rFonts w:ascii="標楷體" w:eastAsia="標楷體" w:hAnsi="標楷體"/>
          <w:sz w:val="28"/>
          <w:szCs w:val="28"/>
        </w:rPr>
        <w:t xml:space="preserve">毫克需要兩支單獨針筒 (和兩次皮下注射)。使用兩支 </w:t>
      </w:r>
      <w:r w:rsidR="00F556CC" w:rsidRPr="006725E3">
        <w:rPr>
          <w:rFonts w:ascii="Times New Roman" w:eastAsia="標楷體" w:hAnsi="Times New Roman" w:cs="Times New Roman"/>
          <w:sz w:val="28"/>
          <w:szCs w:val="28"/>
        </w:rPr>
        <w:t xml:space="preserve">105 </w:t>
      </w:r>
      <w:r w:rsidR="00F556CC" w:rsidRPr="006725E3">
        <w:rPr>
          <w:rFonts w:ascii="標楷體" w:eastAsia="標楷體" w:hAnsi="標楷體"/>
          <w:sz w:val="28"/>
          <w:szCs w:val="28"/>
        </w:rPr>
        <w:t>毫克</w:t>
      </w:r>
      <w:r w:rsidR="00F556CC" w:rsidRPr="006725E3">
        <w:rPr>
          <w:rFonts w:ascii="Times New Roman" w:eastAsia="標楷體" w:hAnsi="Times New Roman" w:cs="Times New Roman"/>
          <w:sz w:val="28"/>
          <w:szCs w:val="28"/>
        </w:rPr>
        <w:t xml:space="preserve">/1.17 </w:t>
      </w:r>
      <w:r w:rsidR="00F556CC" w:rsidRPr="006725E3">
        <w:rPr>
          <w:rFonts w:ascii="標楷體" w:eastAsia="標楷體" w:hAnsi="標楷體"/>
          <w:sz w:val="28"/>
          <w:szCs w:val="28"/>
        </w:rPr>
        <w:t xml:space="preserve">毫升的預充針筒連續注射兩劑。 </w:t>
      </w:r>
    </w:p>
    <w:p w14:paraId="6300F71C" w14:textId="3E26F36F" w:rsidR="00F556CC" w:rsidRPr="006725E3" w:rsidRDefault="00F556CC" w:rsidP="00F556CC">
      <w:pPr>
        <w:pStyle w:val="a4"/>
        <w:ind w:leftChars="0" w:left="510"/>
        <w:rPr>
          <w:rFonts w:ascii="標楷體" w:eastAsia="標楷體" w:hAnsi="標楷體"/>
          <w:sz w:val="28"/>
          <w:szCs w:val="28"/>
        </w:rPr>
      </w:pPr>
      <w:r w:rsidRPr="006725E3">
        <w:rPr>
          <w:rFonts w:ascii="標楷體" w:eastAsia="標楷體" w:hAnsi="標楷體"/>
          <w:sz w:val="28"/>
          <w:szCs w:val="28"/>
        </w:rPr>
        <w:t>• 應由專業醫護人員施打</w:t>
      </w:r>
      <w:r w:rsidRPr="006725E3">
        <w:rPr>
          <w:rFonts w:ascii="Times New Roman" w:eastAsia="標楷體" w:hAnsi="Times New Roman" w:cs="Times New Roman"/>
          <w:sz w:val="28"/>
          <w:szCs w:val="28"/>
        </w:rPr>
        <w:t xml:space="preserve"> EVENITY</w:t>
      </w:r>
      <w:r w:rsidRPr="006725E3">
        <w:rPr>
          <w:rFonts w:ascii="Times New Roman" w:eastAsia="標楷體" w:hAnsi="Times New Roman" w:cs="Times New Roman"/>
          <w:sz w:val="28"/>
          <w:szCs w:val="28"/>
        </w:rPr>
        <w:t>。</w:t>
      </w:r>
    </w:p>
    <w:p w14:paraId="525C54ED" w14:textId="77777777" w:rsidR="00F556CC" w:rsidRPr="006725E3" w:rsidRDefault="00F556CC" w:rsidP="00F556CC">
      <w:pPr>
        <w:pStyle w:val="a4"/>
        <w:ind w:leftChars="0" w:left="510"/>
        <w:rPr>
          <w:rFonts w:ascii="標楷體" w:eastAsia="標楷體" w:hAnsi="標楷體"/>
          <w:sz w:val="28"/>
          <w:szCs w:val="28"/>
        </w:rPr>
      </w:pPr>
      <w:r w:rsidRPr="006725E3">
        <w:rPr>
          <w:rFonts w:ascii="標楷體" w:eastAsia="標楷體" w:hAnsi="標楷體"/>
          <w:sz w:val="28"/>
          <w:szCs w:val="28"/>
        </w:rPr>
        <w:t>•</w:t>
      </w:r>
      <w:r w:rsidRPr="006725E3">
        <w:rPr>
          <w:rFonts w:ascii="Times New Roman" w:eastAsia="標楷體" w:hAnsi="Times New Roman" w:cs="Times New Roman"/>
          <w:sz w:val="28"/>
          <w:szCs w:val="28"/>
        </w:rPr>
        <w:t xml:space="preserve"> EVENITY </w:t>
      </w:r>
      <w:r w:rsidRPr="006725E3">
        <w:rPr>
          <w:rFonts w:ascii="標楷體" w:eastAsia="標楷體" w:hAnsi="標楷體"/>
          <w:sz w:val="28"/>
          <w:szCs w:val="28"/>
        </w:rPr>
        <w:t xml:space="preserve">的建議劑量為皮下注射 </w:t>
      </w:r>
      <w:r w:rsidRPr="006725E3">
        <w:rPr>
          <w:rFonts w:ascii="Times New Roman" w:eastAsia="標楷體" w:hAnsi="Times New Roman" w:cs="Times New Roman"/>
          <w:sz w:val="28"/>
          <w:szCs w:val="28"/>
        </w:rPr>
        <w:t xml:space="preserve">210 </w:t>
      </w:r>
      <w:r w:rsidRPr="006725E3">
        <w:rPr>
          <w:rFonts w:ascii="標楷體" w:eastAsia="標楷體" w:hAnsi="標楷體"/>
          <w:sz w:val="28"/>
          <w:szCs w:val="28"/>
        </w:rPr>
        <w:t xml:space="preserve">毫克於腹部、大腿或上臂。每個月施打一次 </w:t>
      </w:r>
      <w:r w:rsidRPr="006725E3">
        <w:rPr>
          <w:rFonts w:ascii="Times New Roman" w:eastAsia="標楷體" w:hAnsi="Times New Roman" w:cs="Times New Roman"/>
          <w:sz w:val="28"/>
          <w:szCs w:val="28"/>
        </w:rPr>
        <w:t>EVENITY</w:t>
      </w:r>
      <w:r w:rsidRPr="006725E3">
        <w:rPr>
          <w:rFonts w:ascii="標楷體" w:eastAsia="標楷體" w:hAnsi="標楷體"/>
          <w:sz w:val="28"/>
          <w:szCs w:val="28"/>
        </w:rPr>
        <w:t xml:space="preserve">。 </w:t>
      </w:r>
    </w:p>
    <w:p w14:paraId="3ECF03E4" w14:textId="77777777" w:rsidR="008E7C38" w:rsidRPr="006725E3" w:rsidRDefault="00F556CC" w:rsidP="00F556CC">
      <w:pPr>
        <w:pStyle w:val="a4"/>
        <w:ind w:leftChars="0" w:left="510"/>
        <w:rPr>
          <w:rFonts w:ascii="標楷體" w:eastAsia="標楷體" w:hAnsi="標楷體"/>
          <w:sz w:val="28"/>
          <w:szCs w:val="28"/>
        </w:rPr>
      </w:pPr>
      <w:r w:rsidRPr="006725E3">
        <w:rPr>
          <w:rFonts w:ascii="標楷體" w:eastAsia="標楷體" w:hAnsi="標楷體"/>
          <w:sz w:val="28"/>
          <w:szCs w:val="28"/>
        </w:rPr>
        <w:t xml:space="preserve">• </w:t>
      </w:r>
      <w:r w:rsidRPr="006725E3">
        <w:rPr>
          <w:rFonts w:ascii="Times New Roman" w:eastAsia="標楷體" w:hAnsi="Times New Roman" w:cs="Times New Roman"/>
          <w:sz w:val="28"/>
          <w:szCs w:val="28"/>
        </w:rPr>
        <w:t xml:space="preserve">EVENITY </w:t>
      </w:r>
      <w:r w:rsidRPr="006725E3">
        <w:rPr>
          <w:rFonts w:ascii="標楷體" w:eastAsia="標楷體" w:hAnsi="標楷體"/>
          <w:sz w:val="28"/>
          <w:szCs w:val="28"/>
        </w:rPr>
        <w:t>治療期間為每個月施打一次共計</w:t>
      </w:r>
      <w:r w:rsidRPr="006725E3">
        <w:rPr>
          <w:rFonts w:ascii="Times New Roman" w:eastAsia="標楷體" w:hAnsi="Times New Roman" w:cs="Times New Roman"/>
          <w:sz w:val="28"/>
          <w:szCs w:val="28"/>
        </w:rPr>
        <w:t xml:space="preserve"> 12</w:t>
      </w:r>
      <w:r w:rsidRPr="006725E3">
        <w:rPr>
          <w:rFonts w:ascii="標楷體" w:eastAsia="標楷體" w:hAnsi="標楷體"/>
          <w:sz w:val="28"/>
          <w:szCs w:val="28"/>
        </w:rPr>
        <w:t xml:space="preserve"> 個月。 </w:t>
      </w:r>
    </w:p>
    <w:p w14:paraId="5AA428FF" w14:textId="46BF0340" w:rsidR="008E7C38" w:rsidRPr="006725E3" w:rsidRDefault="00F556CC" w:rsidP="00F556CC">
      <w:pPr>
        <w:pStyle w:val="a4"/>
        <w:ind w:leftChars="0" w:left="510"/>
        <w:rPr>
          <w:rFonts w:ascii="標楷體" w:eastAsia="標楷體" w:hAnsi="標楷體"/>
          <w:sz w:val="28"/>
          <w:szCs w:val="28"/>
        </w:rPr>
      </w:pPr>
      <w:r w:rsidRPr="006725E3">
        <w:rPr>
          <w:rFonts w:ascii="標楷體" w:eastAsia="標楷體" w:hAnsi="標楷體"/>
          <w:sz w:val="28"/>
          <w:szCs w:val="28"/>
        </w:rPr>
        <w:t xml:space="preserve">• 病人在 </w:t>
      </w:r>
      <w:r w:rsidRPr="006725E3">
        <w:rPr>
          <w:rFonts w:ascii="Times New Roman" w:eastAsia="標楷體" w:hAnsi="Times New Roman" w:cs="Times New Roman"/>
          <w:sz w:val="28"/>
          <w:szCs w:val="28"/>
        </w:rPr>
        <w:t>EVENITY</w:t>
      </w:r>
      <w:r w:rsidRPr="006725E3">
        <w:rPr>
          <w:rFonts w:ascii="標楷體" w:eastAsia="標楷體" w:hAnsi="標楷體"/>
          <w:sz w:val="28"/>
          <w:szCs w:val="28"/>
        </w:rPr>
        <w:t xml:space="preserve"> 治療期間應適量補充鈣質及維生素 </w:t>
      </w:r>
      <w:r w:rsidRPr="006725E3">
        <w:rPr>
          <w:rFonts w:ascii="Times New Roman" w:eastAsia="標楷體" w:hAnsi="Times New Roman" w:cs="Times New Roman"/>
          <w:sz w:val="28"/>
          <w:szCs w:val="28"/>
        </w:rPr>
        <w:t xml:space="preserve">D </w:t>
      </w:r>
    </w:p>
    <w:p w14:paraId="21F14109" w14:textId="28EC7E33" w:rsidR="00F556CC" w:rsidRPr="006725E3" w:rsidRDefault="00F556CC" w:rsidP="00F556CC">
      <w:pPr>
        <w:pStyle w:val="a4"/>
        <w:ind w:leftChars="0" w:left="510"/>
        <w:rPr>
          <w:rFonts w:ascii="標楷體" w:eastAsia="標楷體" w:hAnsi="標楷體"/>
          <w:sz w:val="28"/>
          <w:szCs w:val="28"/>
        </w:rPr>
      </w:pPr>
      <w:r w:rsidRPr="006725E3">
        <w:rPr>
          <w:rFonts w:ascii="標楷體" w:eastAsia="標楷體" w:hAnsi="標楷體"/>
          <w:sz w:val="28"/>
          <w:szCs w:val="28"/>
        </w:rPr>
        <w:t>• 如果漏打一次</w:t>
      </w:r>
      <w:r w:rsidRPr="006725E3">
        <w:rPr>
          <w:rFonts w:ascii="Times New Roman" w:eastAsia="標楷體" w:hAnsi="Times New Roman" w:cs="Times New Roman"/>
          <w:sz w:val="28"/>
          <w:szCs w:val="28"/>
        </w:rPr>
        <w:t xml:space="preserve"> EVENITY</w:t>
      </w:r>
      <w:r w:rsidRPr="006725E3">
        <w:rPr>
          <w:rFonts w:ascii="標楷體" w:eastAsia="標楷體" w:hAnsi="標楷體"/>
          <w:sz w:val="28"/>
          <w:szCs w:val="28"/>
        </w:rPr>
        <w:t xml:space="preserve">，應重新安排門診時間儘快施打。之後再從最後一次注射的日期算起，排定每個月 </w:t>
      </w:r>
      <w:r w:rsidRPr="006725E3">
        <w:rPr>
          <w:rFonts w:ascii="Times New Roman" w:eastAsia="標楷體" w:hAnsi="Times New Roman" w:cs="Times New Roman"/>
          <w:sz w:val="28"/>
          <w:szCs w:val="28"/>
        </w:rPr>
        <w:t>EVENITY</w:t>
      </w:r>
      <w:r w:rsidRPr="006725E3">
        <w:rPr>
          <w:rFonts w:ascii="標楷體" w:eastAsia="標楷體" w:hAnsi="標楷體"/>
          <w:sz w:val="28"/>
          <w:szCs w:val="28"/>
        </w:rPr>
        <w:t xml:space="preserve"> 的施打時間。</w:t>
      </w:r>
    </w:p>
    <w:p w14:paraId="4442E5C6" w14:textId="0AF5DCFD" w:rsidR="00827BC1" w:rsidRPr="006725E3" w:rsidRDefault="00F556CC" w:rsidP="00F556CC">
      <w:pPr>
        <w:pStyle w:val="a4"/>
        <w:ind w:leftChars="0" w:left="0"/>
        <w:rPr>
          <w:rFonts w:ascii="標楷體" w:eastAsia="標楷體" w:hAnsi="標楷體" w:cs="Arial"/>
          <w:color w:val="FF0000"/>
          <w:sz w:val="28"/>
          <w:szCs w:val="28"/>
        </w:rPr>
      </w:pPr>
      <w:r w:rsidRPr="006725E3">
        <w:rPr>
          <w:rFonts w:ascii="標楷體" w:eastAsia="標楷體" w:hAnsi="標楷體" w:hint="eastAsia"/>
          <w:color w:val="FF0000"/>
          <w:sz w:val="28"/>
          <w:szCs w:val="28"/>
        </w:rPr>
        <w:lastRenderedPageBreak/>
        <w:t>三、</w:t>
      </w:r>
      <w:r w:rsidR="00827BC1" w:rsidRPr="006725E3">
        <w:rPr>
          <w:rFonts w:ascii="標楷體" w:eastAsia="標楷體" w:hAnsi="標楷體"/>
          <w:color w:val="FF0000"/>
          <w:sz w:val="28"/>
          <w:szCs w:val="28"/>
        </w:rPr>
        <w:t>作用機轉</w:t>
      </w:r>
    </w:p>
    <w:p w14:paraId="56D96102" w14:textId="3F1C02C7" w:rsidR="00C44DA4" w:rsidRPr="006725E3" w:rsidRDefault="00827BC1" w:rsidP="00827BC1">
      <w:pPr>
        <w:pStyle w:val="a4"/>
        <w:widowControl/>
        <w:shd w:val="clear" w:color="auto" w:fill="FFFFFF"/>
        <w:spacing w:after="150" w:line="375" w:lineRule="atLeast"/>
        <w:ind w:leftChars="0" w:left="510"/>
        <w:rPr>
          <w:rFonts w:ascii="標楷體" w:eastAsia="標楷體" w:hAnsi="標楷體" w:cs="新細明體"/>
          <w:color w:val="333333"/>
          <w:kern w:val="0"/>
          <w:sz w:val="28"/>
          <w:szCs w:val="28"/>
        </w:rPr>
      </w:pPr>
      <w:r w:rsidRPr="006725E3">
        <w:rPr>
          <w:rFonts w:ascii="標楷體" w:eastAsia="標楷體" w:hAnsi="標楷體" w:hint="eastAsia"/>
          <w:sz w:val="28"/>
          <w:szCs w:val="28"/>
        </w:rPr>
        <w:t xml:space="preserve">   </w:t>
      </w:r>
      <w:r w:rsidR="007D1A24">
        <w:rPr>
          <w:rFonts w:ascii="標楷體" w:eastAsia="標楷體" w:hAnsi="標楷體"/>
          <w:sz w:val="28"/>
          <w:szCs w:val="28"/>
        </w:rPr>
        <w:t xml:space="preserve"> </w:t>
      </w:r>
      <w:r w:rsidR="00685685" w:rsidRPr="006725E3">
        <w:rPr>
          <w:rFonts w:ascii="Times New Roman" w:eastAsia="標楷體" w:hAnsi="Times New Roman" w:cs="Times New Roman"/>
          <w:sz w:val="28"/>
          <w:szCs w:val="28"/>
        </w:rPr>
        <w:t xml:space="preserve">EVENITY </w:t>
      </w:r>
      <w:r w:rsidR="00685685" w:rsidRPr="006725E3">
        <w:rPr>
          <w:rFonts w:ascii="標楷體" w:eastAsia="標楷體" w:hAnsi="標楷體"/>
          <w:sz w:val="28"/>
          <w:szCs w:val="28"/>
        </w:rPr>
        <w:t xml:space="preserve">可抑制抑硬素 </w:t>
      </w:r>
      <w:r w:rsidR="00685685" w:rsidRPr="006725E3">
        <w:rPr>
          <w:rFonts w:ascii="Times New Roman" w:eastAsia="標楷體" w:hAnsi="Times New Roman" w:cs="Times New Roman"/>
          <w:sz w:val="28"/>
          <w:szCs w:val="28"/>
        </w:rPr>
        <w:t>(sclerostin)</w:t>
      </w:r>
      <w:r w:rsidR="00685685" w:rsidRPr="006725E3">
        <w:rPr>
          <w:rFonts w:ascii="標楷體" w:eastAsia="標楷體" w:hAnsi="標楷體"/>
          <w:sz w:val="28"/>
          <w:szCs w:val="28"/>
        </w:rPr>
        <w:t>，抑硬素為骨代謝的調節因子。</w:t>
      </w:r>
      <w:r w:rsidR="00685685" w:rsidRPr="006725E3">
        <w:rPr>
          <w:rFonts w:ascii="Times New Roman" w:eastAsia="標楷體" w:hAnsi="Times New Roman" w:cs="Times New Roman"/>
          <w:sz w:val="28"/>
          <w:szCs w:val="28"/>
        </w:rPr>
        <w:t>EVENITY</w:t>
      </w:r>
      <w:r w:rsidR="00685685" w:rsidRPr="006725E3">
        <w:rPr>
          <w:rFonts w:ascii="標楷體" w:eastAsia="標楷體" w:hAnsi="標楷體"/>
          <w:sz w:val="28"/>
          <w:szCs w:val="28"/>
        </w:rPr>
        <w:t xml:space="preserve"> 可增加骨生成，</w:t>
      </w:r>
      <w:bookmarkStart w:id="0" w:name="_GoBack"/>
      <w:bookmarkEnd w:id="0"/>
      <w:r w:rsidR="00685685" w:rsidRPr="006725E3">
        <w:rPr>
          <w:rFonts w:ascii="標楷體" w:eastAsia="標楷體" w:hAnsi="標楷體"/>
          <w:sz w:val="28"/>
          <w:szCs w:val="28"/>
        </w:rPr>
        <w:t>小幅減少骨吸收。動物試驗顯示，</w:t>
      </w:r>
      <w:r w:rsidR="00685685" w:rsidRPr="006725E3">
        <w:rPr>
          <w:rFonts w:ascii="Times New Roman" w:eastAsia="標楷體" w:hAnsi="Times New Roman" w:cs="Times New Roman"/>
          <w:sz w:val="28"/>
          <w:szCs w:val="28"/>
        </w:rPr>
        <w:t>romosozumab</w:t>
      </w:r>
      <w:r w:rsidR="00685685" w:rsidRPr="006725E3">
        <w:rPr>
          <w:rFonts w:ascii="標楷體" w:eastAsia="標楷體" w:hAnsi="標楷體"/>
          <w:sz w:val="28"/>
          <w:szCs w:val="28"/>
        </w:rPr>
        <w:t xml:space="preserve"> 藉由刺激成骨細胞活性，刺激小樑骨 </w:t>
      </w:r>
      <w:r w:rsidR="00685685" w:rsidRPr="006725E3">
        <w:rPr>
          <w:rFonts w:ascii="Times New Roman" w:eastAsia="標楷體" w:hAnsi="Times New Roman" w:cs="Times New Roman"/>
          <w:sz w:val="28"/>
          <w:szCs w:val="28"/>
        </w:rPr>
        <w:t>(trabecular</w:t>
      </w:r>
      <w:r w:rsidR="00685685" w:rsidRPr="006725E3">
        <w:rPr>
          <w:rFonts w:ascii="標楷體" w:eastAsia="標楷體" w:hAnsi="標楷體"/>
          <w:sz w:val="28"/>
          <w:szCs w:val="28"/>
        </w:rPr>
        <w:t xml:space="preserve"> </w:t>
      </w:r>
      <w:r w:rsidR="00685685" w:rsidRPr="006725E3">
        <w:rPr>
          <w:rFonts w:ascii="Times New Roman" w:eastAsia="標楷體" w:hAnsi="Times New Roman" w:cs="Times New Roman"/>
          <w:sz w:val="28"/>
          <w:szCs w:val="28"/>
        </w:rPr>
        <w:t>bone)</w:t>
      </w:r>
      <w:r w:rsidR="00685685" w:rsidRPr="006725E3">
        <w:rPr>
          <w:rFonts w:ascii="標楷體" w:eastAsia="標楷體" w:hAnsi="標楷體"/>
          <w:sz w:val="28"/>
          <w:szCs w:val="28"/>
        </w:rPr>
        <w:t xml:space="preserve"> 和皮質骨表面的新骨生成，而增加小樑骨和皮質骨的骨質，並改善骨骼結構及強度。</w:t>
      </w:r>
    </w:p>
    <w:p w14:paraId="6E5AD53B" w14:textId="77777777" w:rsidR="00827BC1" w:rsidRPr="006725E3" w:rsidRDefault="00524E97" w:rsidP="00E414B8">
      <w:pPr>
        <w:rPr>
          <w:rFonts w:ascii="標楷體" w:eastAsia="標楷體" w:hAnsi="標楷體"/>
          <w:sz w:val="28"/>
          <w:szCs w:val="28"/>
        </w:rPr>
      </w:pPr>
      <w:r w:rsidRPr="006725E3">
        <w:rPr>
          <w:rFonts w:ascii="標楷體" w:eastAsia="標楷體" w:hAnsi="標楷體"/>
          <w:sz w:val="28"/>
          <w:szCs w:val="28"/>
        </w:rPr>
        <w:br/>
      </w:r>
      <w:r w:rsidR="00E414B8" w:rsidRPr="006725E3">
        <w:rPr>
          <w:rFonts w:ascii="標楷體" w:eastAsia="標楷體" w:hAnsi="標楷體" w:cs="Arial"/>
          <w:b/>
          <w:color w:val="FF0000"/>
          <w:sz w:val="28"/>
          <w:szCs w:val="28"/>
        </w:rPr>
        <w:t>四</w:t>
      </w:r>
      <w:r w:rsidR="00E414B8" w:rsidRPr="006725E3">
        <w:rPr>
          <w:rStyle w:val="a3"/>
          <w:rFonts w:ascii="標楷體" w:eastAsia="標楷體" w:hAnsi="標楷體" w:cs="Arial"/>
          <w:color w:val="FF0000"/>
          <w:sz w:val="28"/>
          <w:szCs w:val="28"/>
          <w:shd w:val="clear" w:color="auto" w:fill="FFFFFF"/>
        </w:rPr>
        <w:t>、</w:t>
      </w:r>
      <w:r w:rsidR="00827BC1" w:rsidRPr="006725E3">
        <w:rPr>
          <w:rFonts w:ascii="標楷體" w:eastAsia="標楷體" w:hAnsi="標楷體"/>
          <w:color w:val="FF0000"/>
          <w:sz w:val="28"/>
          <w:szCs w:val="28"/>
        </w:rPr>
        <w:t>藥物動力學特性</w:t>
      </w:r>
    </w:p>
    <w:p w14:paraId="1726CC17" w14:textId="79A90266" w:rsidR="00685685" w:rsidRPr="006725E3" w:rsidRDefault="00827BC1">
      <w:pPr>
        <w:rPr>
          <w:rFonts w:ascii="標楷體" w:eastAsia="標楷體" w:hAnsi="標楷體"/>
          <w:sz w:val="28"/>
          <w:szCs w:val="28"/>
        </w:rPr>
      </w:pPr>
      <w:r w:rsidRPr="006725E3">
        <w:rPr>
          <w:rFonts w:ascii="標楷體" w:eastAsia="標楷體" w:hAnsi="標楷體" w:hint="eastAsia"/>
          <w:sz w:val="28"/>
          <w:szCs w:val="28"/>
        </w:rPr>
        <w:t xml:space="preserve">  </w:t>
      </w:r>
      <w:r w:rsidRPr="006725E3">
        <w:rPr>
          <w:rFonts w:ascii="Times New Roman" w:eastAsia="標楷體" w:hAnsi="Times New Roman" w:cs="Times New Roman"/>
          <w:sz w:val="28"/>
          <w:szCs w:val="28"/>
        </w:rPr>
        <w:t xml:space="preserve"> </w:t>
      </w:r>
      <w:r w:rsidR="007D1A24">
        <w:rPr>
          <w:rFonts w:ascii="Times New Roman" w:eastAsia="標楷體" w:hAnsi="Times New Roman" w:cs="Times New Roman"/>
          <w:sz w:val="28"/>
          <w:szCs w:val="28"/>
        </w:rPr>
        <w:t xml:space="preserve"> </w:t>
      </w:r>
      <w:r w:rsidR="00685685" w:rsidRPr="006725E3">
        <w:rPr>
          <w:rFonts w:ascii="Times New Roman" w:eastAsia="標楷體" w:hAnsi="Times New Roman" w:cs="Times New Roman"/>
          <w:sz w:val="28"/>
          <w:szCs w:val="28"/>
        </w:rPr>
        <w:t>Romosozumab</w:t>
      </w:r>
      <w:r w:rsidR="00685685" w:rsidRPr="006725E3">
        <w:rPr>
          <w:rFonts w:ascii="標楷體" w:eastAsia="標楷體" w:hAnsi="標楷體"/>
          <w:sz w:val="28"/>
          <w:szCs w:val="28"/>
        </w:rPr>
        <w:t xml:space="preserve"> 具非線性的藥物動力學特性，即暴露量的增幅大於劑量增加的比例 [例如：當皮 下注射劑量增幅 </w:t>
      </w:r>
      <w:r w:rsidR="00685685" w:rsidRPr="006725E3">
        <w:rPr>
          <w:rFonts w:ascii="Times New Roman" w:eastAsia="標楷體" w:hAnsi="Times New Roman" w:cs="Times New Roman"/>
          <w:sz w:val="28"/>
          <w:szCs w:val="28"/>
        </w:rPr>
        <w:t>100</w:t>
      </w:r>
      <w:r w:rsidR="00685685" w:rsidRPr="006725E3">
        <w:rPr>
          <w:rFonts w:ascii="標楷體" w:eastAsia="標楷體" w:hAnsi="標楷體"/>
          <w:sz w:val="28"/>
          <w:szCs w:val="28"/>
        </w:rPr>
        <w:t xml:space="preserve"> 倍 (</w:t>
      </w:r>
      <w:r w:rsidR="00685685" w:rsidRPr="006725E3">
        <w:rPr>
          <w:rFonts w:ascii="Times New Roman" w:eastAsia="標楷體" w:hAnsi="Times New Roman" w:cs="Times New Roman"/>
          <w:sz w:val="28"/>
          <w:szCs w:val="28"/>
        </w:rPr>
        <w:t>0.1</w:t>
      </w:r>
      <w:r w:rsidR="00685685" w:rsidRPr="006725E3">
        <w:rPr>
          <w:rFonts w:ascii="標楷體" w:eastAsia="標楷體" w:hAnsi="標楷體"/>
          <w:sz w:val="28"/>
          <w:szCs w:val="28"/>
        </w:rPr>
        <w:t xml:space="preserve"> 毫克/公斤 ~</w:t>
      </w:r>
      <w:r w:rsidR="00685685" w:rsidRPr="006725E3">
        <w:rPr>
          <w:rFonts w:ascii="Times New Roman" w:eastAsia="標楷體" w:hAnsi="Times New Roman" w:cs="Times New Roman"/>
          <w:sz w:val="28"/>
          <w:szCs w:val="28"/>
        </w:rPr>
        <w:t xml:space="preserve"> 10</w:t>
      </w:r>
      <w:r w:rsidR="00685685" w:rsidRPr="006725E3">
        <w:rPr>
          <w:rFonts w:ascii="標楷體" w:eastAsia="標楷體" w:hAnsi="標楷體"/>
          <w:sz w:val="28"/>
          <w:szCs w:val="28"/>
        </w:rPr>
        <w:t xml:space="preserve"> 毫克/公斤；相當於核准用於</w:t>
      </w:r>
      <w:r w:rsidR="00685685" w:rsidRPr="006725E3">
        <w:rPr>
          <w:rFonts w:ascii="Times New Roman" w:eastAsia="標楷體" w:hAnsi="Times New Roman" w:cs="Times New Roman"/>
          <w:sz w:val="28"/>
          <w:szCs w:val="28"/>
        </w:rPr>
        <w:t xml:space="preserve"> 70</w:t>
      </w:r>
      <w:r w:rsidR="00685685" w:rsidRPr="006725E3">
        <w:rPr>
          <w:rFonts w:ascii="標楷體" w:eastAsia="標楷體" w:hAnsi="標楷體"/>
          <w:sz w:val="28"/>
          <w:szCs w:val="28"/>
        </w:rPr>
        <w:t xml:space="preserve"> 公斤女性建議劑量 的</w:t>
      </w:r>
      <w:r w:rsidR="00685685" w:rsidRPr="006725E3">
        <w:rPr>
          <w:rFonts w:ascii="Times New Roman" w:eastAsia="標楷體" w:hAnsi="Times New Roman" w:cs="Times New Roman"/>
          <w:sz w:val="28"/>
          <w:szCs w:val="28"/>
        </w:rPr>
        <w:t xml:space="preserve"> 0.03</w:t>
      </w:r>
      <w:r w:rsidR="00685685" w:rsidRPr="006725E3">
        <w:rPr>
          <w:rFonts w:ascii="標楷體" w:eastAsia="標楷體" w:hAnsi="標楷體"/>
          <w:sz w:val="28"/>
          <w:szCs w:val="28"/>
        </w:rPr>
        <w:t xml:space="preserve"> 倍 ~</w:t>
      </w:r>
      <w:r w:rsidR="00685685" w:rsidRPr="006725E3">
        <w:rPr>
          <w:rFonts w:ascii="Times New Roman" w:eastAsia="標楷體" w:hAnsi="Times New Roman" w:cs="Times New Roman"/>
          <w:sz w:val="28"/>
          <w:szCs w:val="28"/>
        </w:rPr>
        <w:t xml:space="preserve"> 3.3</w:t>
      </w:r>
      <w:r w:rsidR="00685685" w:rsidRPr="006725E3">
        <w:rPr>
          <w:rFonts w:ascii="標楷體" w:eastAsia="標楷體" w:hAnsi="標楷體"/>
          <w:sz w:val="28"/>
          <w:szCs w:val="28"/>
        </w:rPr>
        <w:t xml:space="preserve"> 倍) 時，</w:t>
      </w:r>
      <w:r w:rsidR="00685685" w:rsidRPr="006725E3">
        <w:rPr>
          <w:rFonts w:ascii="Times New Roman" w:eastAsia="標楷體" w:hAnsi="Times New Roman" w:cs="Times New Roman"/>
          <w:sz w:val="28"/>
          <w:szCs w:val="28"/>
        </w:rPr>
        <w:t>AUCinf</w:t>
      </w:r>
      <w:r w:rsidR="00685685" w:rsidRPr="006725E3">
        <w:rPr>
          <w:rFonts w:ascii="標楷體" w:eastAsia="標楷體" w:hAnsi="標楷體"/>
          <w:sz w:val="28"/>
          <w:szCs w:val="28"/>
        </w:rPr>
        <w:t xml:space="preserve"> 增加了</w:t>
      </w:r>
      <w:r w:rsidR="00685685" w:rsidRPr="006725E3">
        <w:rPr>
          <w:rFonts w:ascii="Times New Roman" w:eastAsia="標楷體" w:hAnsi="Times New Roman" w:cs="Times New Roman"/>
          <w:sz w:val="28"/>
          <w:szCs w:val="28"/>
        </w:rPr>
        <w:t xml:space="preserve"> 550</w:t>
      </w:r>
      <w:r w:rsidR="00685685" w:rsidRPr="006725E3">
        <w:rPr>
          <w:rFonts w:ascii="標楷體" w:eastAsia="標楷體" w:hAnsi="標楷體"/>
          <w:sz w:val="28"/>
          <w:szCs w:val="28"/>
        </w:rPr>
        <w:t xml:space="preserve"> 倍]。 </w:t>
      </w:r>
    </w:p>
    <w:p w14:paraId="5FB38AD8" w14:textId="77777777" w:rsidR="00685685" w:rsidRPr="006725E3" w:rsidRDefault="00685685">
      <w:pPr>
        <w:rPr>
          <w:rFonts w:ascii="標楷體" w:eastAsia="標楷體" w:hAnsi="標楷體"/>
          <w:sz w:val="28"/>
          <w:szCs w:val="28"/>
        </w:rPr>
      </w:pPr>
      <w:r w:rsidRPr="006725E3">
        <w:rPr>
          <w:rFonts w:ascii="標楷體" w:eastAsia="標楷體" w:hAnsi="標楷體"/>
          <w:sz w:val="28"/>
          <w:szCs w:val="28"/>
        </w:rPr>
        <w:t xml:space="preserve">吸收 </w:t>
      </w:r>
    </w:p>
    <w:p w14:paraId="5328CB6E" w14:textId="77777777" w:rsidR="00685685" w:rsidRPr="006725E3" w:rsidRDefault="00685685">
      <w:pPr>
        <w:rPr>
          <w:rFonts w:ascii="標楷體" w:eastAsia="標楷體" w:hAnsi="標楷體"/>
          <w:sz w:val="28"/>
          <w:szCs w:val="28"/>
        </w:rPr>
      </w:pPr>
      <w:r w:rsidRPr="006725E3">
        <w:rPr>
          <w:rFonts w:ascii="標楷體" w:eastAsia="標楷體" w:hAnsi="標楷體"/>
          <w:sz w:val="28"/>
          <w:szCs w:val="28"/>
        </w:rPr>
        <w:t>達到</w:t>
      </w:r>
      <w:r w:rsidRPr="006725E3">
        <w:rPr>
          <w:rFonts w:ascii="Times New Roman" w:eastAsia="標楷體" w:hAnsi="Times New Roman" w:cs="Times New Roman"/>
          <w:sz w:val="28"/>
          <w:szCs w:val="28"/>
        </w:rPr>
        <w:t xml:space="preserve"> romosozumab</w:t>
      </w:r>
      <w:r w:rsidRPr="006725E3">
        <w:rPr>
          <w:rFonts w:ascii="標楷體" w:eastAsia="標楷體" w:hAnsi="標楷體"/>
          <w:sz w:val="28"/>
          <w:szCs w:val="28"/>
        </w:rPr>
        <w:t xml:space="preserve"> 最高濃度</w:t>
      </w:r>
      <w:r w:rsidRPr="006725E3">
        <w:rPr>
          <w:rFonts w:ascii="Times New Roman" w:eastAsia="標楷體" w:hAnsi="Times New Roman" w:cs="Times New Roman"/>
          <w:sz w:val="28"/>
          <w:szCs w:val="28"/>
        </w:rPr>
        <w:t xml:space="preserve"> (Tmax)</w:t>
      </w:r>
      <w:r w:rsidRPr="006725E3">
        <w:rPr>
          <w:rFonts w:ascii="標楷體" w:eastAsia="標楷體" w:hAnsi="標楷體"/>
          <w:sz w:val="28"/>
          <w:szCs w:val="28"/>
        </w:rPr>
        <w:t xml:space="preserve"> 的時間為 </w:t>
      </w:r>
      <w:r w:rsidRPr="006725E3">
        <w:rPr>
          <w:rFonts w:ascii="Times New Roman" w:eastAsia="標楷體" w:hAnsi="Times New Roman" w:cs="Times New Roman"/>
          <w:sz w:val="28"/>
          <w:szCs w:val="28"/>
        </w:rPr>
        <w:t xml:space="preserve">5 </w:t>
      </w:r>
      <w:r w:rsidRPr="006725E3">
        <w:rPr>
          <w:rFonts w:ascii="標楷體" w:eastAsia="標楷體" w:hAnsi="標楷體"/>
          <w:sz w:val="28"/>
          <w:szCs w:val="28"/>
        </w:rPr>
        <w:t>天 (中位數；範圍</w:t>
      </w:r>
      <w:r w:rsidRPr="006725E3">
        <w:rPr>
          <w:rFonts w:ascii="Times New Roman" w:eastAsia="標楷體" w:hAnsi="Times New Roman" w:cs="Times New Roman"/>
          <w:sz w:val="28"/>
          <w:szCs w:val="28"/>
        </w:rPr>
        <w:t>：</w:t>
      </w:r>
      <w:r w:rsidRPr="006725E3">
        <w:rPr>
          <w:rFonts w:ascii="Times New Roman" w:eastAsia="標楷體" w:hAnsi="Times New Roman" w:cs="Times New Roman"/>
          <w:sz w:val="28"/>
          <w:szCs w:val="28"/>
        </w:rPr>
        <w:t xml:space="preserve">2 ~ 7 </w:t>
      </w:r>
      <w:r w:rsidRPr="006725E3">
        <w:rPr>
          <w:rFonts w:ascii="標楷體" w:eastAsia="標楷體" w:hAnsi="標楷體"/>
          <w:sz w:val="28"/>
          <w:szCs w:val="28"/>
        </w:rPr>
        <w:t xml:space="preserve">天)。 </w:t>
      </w:r>
    </w:p>
    <w:p w14:paraId="2EE47C4D" w14:textId="77777777" w:rsidR="00685685" w:rsidRPr="006725E3" w:rsidRDefault="00685685">
      <w:pPr>
        <w:rPr>
          <w:rFonts w:ascii="標楷體" w:eastAsia="標楷體" w:hAnsi="標楷體"/>
          <w:sz w:val="28"/>
          <w:szCs w:val="28"/>
        </w:rPr>
      </w:pPr>
      <w:r w:rsidRPr="006725E3">
        <w:rPr>
          <w:rFonts w:ascii="標楷體" w:eastAsia="標楷體" w:hAnsi="標楷體"/>
          <w:sz w:val="28"/>
          <w:szCs w:val="28"/>
        </w:rPr>
        <w:t xml:space="preserve">分佈 </w:t>
      </w:r>
    </w:p>
    <w:p w14:paraId="524FDBCF" w14:textId="0E814FBF" w:rsidR="00685685" w:rsidRPr="006725E3" w:rsidRDefault="00685685">
      <w:pPr>
        <w:rPr>
          <w:rFonts w:ascii="標楷體" w:eastAsia="標楷體" w:hAnsi="標楷體"/>
          <w:sz w:val="28"/>
          <w:szCs w:val="28"/>
        </w:rPr>
      </w:pPr>
      <w:r w:rsidRPr="006725E3">
        <w:rPr>
          <w:rFonts w:ascii="標楷體" w:eastAsia="標楷體" w:hAnsi="標楷體"/>
          <w:sz w:val="28"/>
          <w:szCs w:val="28"/>
        </w:rPr>
        <w:t>穩定狀態下，分佈體積之估計值約為</w:t>
      </w:r>
      <w:r w:rsidRPr="006725E3">
        <w:rPr>
          <w:rFonts w:ascii="Times New Roman" w:eastAsia="標楷體" w:hAnsi="Times New Roman" w:cs="Times New Roman"/>
          <w:sz w:val="28"/>
          <w:szCs w:val="28"/>
        </w:rPr>
        <w:t xml:space="preserve"> 3.92</w:t>
      </w:r>
      <w:r w:rsidRPr="006725E3">
        <w:rPr>
          <w:rFonts w:ascii="標楷體" w:eastAsia="標楷體" w:hAnsi="標楷體"/>
          <w:sz w:val="28"/>
          <w:szCs w:val="28"/>
        </w:rPr>
        <w:t xml:space="preserve"> 公升。 </w:t>
      </w:r>
    </w:p>
    <w:p w14:paraId="59153594" w14:textId="77777777" w:rsidR="00685685" w:rsidRPr="006725E3" w:rsidRDefault="00685685" w:rsidP="00685685">
      <w:pPr>
        <w:rPr>
          <w:rFonts w:ascii="標楷體" w:eastAsia="標楷體" w:hAnsi="標楷體"/>
          <w:sz w:val="28"/>
          <w:szCs w:val="28"/>
        </w:rPr>
      </w:pPr>
      <w:r w:rsidRPr="006725E3">
        <w:rPr>
          <w:rFonts w:ascii="標楷體" w:eastAsia="標楷體" w:hAnsi="標楷體"/>
          <w:sz w:val="28"/>
          <w:szCs w:val="28"/>
        </w:rPr>
        <w:t xml:space="preserve">代謝 </w:t>
      </w:r>
    </w:p>
    <w:p w14:paraId="0A7C0718" w14:textId="51AEB173" w:rsidR="00685685" w:rsidRPr="006725E3" w:rsidRDefault="00685685">
      <w:pPr>
        <w:rPr>
          <w:rFonts w:ascii="標楷體" w:eastAsia="標楷體" w:hAnsi="標楷體"/>
          <w:sz w:val="28"/>
          <w:szCs w:val="28"/>
        </w:rPr>
      </w:pPr>
      <w:r w:rsidRPr="006725E3">
        <w:rPr>
          <w:rFonts w:ascii="標楷體" w:eastAsia="標楷體" w:hAnsi="標楷體"/>
          <w:sz w:val="28"/>
          <w:szCs w:val="28"/>
        </w:rPr>
        <w:t xml:space="preserve">目前尚未完全瞭解 </w:t>
      </w:r>
      <w:r w:rsidRPr="006725E3">
        <w:rPr>
          <w:rFonts w:ascii="Times New Roman" w:eastAsia="標楷體" w:hAnsi="Times New Roman" w:cs="Times New Roman"/>
          <w:sz w:val="28"/>
          <w:szCs w:val="28"/>
        </w:rPr>
        <w:t>romosozumab</w:t>
      </w:r>
      <w:r w:rsidRPr="006725E3">
        <w:rPr>
          <w:rFonts w:ascii="標楷體" w:eastAsia="標楷體" w:hAnsi="標楷體"/>
          <w:sz w:val="28"/>
          <w:szCs w:val="28"/>
        </w:rPr>
        <w:t xml:space="preserve"> 的代謝途徑。因 </w:t>
      </w:r>
      <w:r w:rsidRPr="006725E3">
        <w:rPr>
          <w:rFonts w:ascii="Times New Roman" w:eastAsia="標楷體" w:hAnsi="Times New Roman" w:cs="Times New Roman"/>
          <w:sz w:val="28"/>
          <w:szCs w:val="28"/>
        </w:rPr>
        <w:t xml:space="preserve">romosozumab </w:t>
      </w:r>
      <w:r w:rsidRPr="006725E3">
        <w:rPr>
          <w:rFonts w:ascii="標楷體" w:eastAsia="標楷體" w:hAnsi="標楷體"/>
          <w:sz w:val="28"/>
          <w:szCs w:val="28"/>
        </w:rPr>
        <w:t xml:space="preserve">為人類化 </w:t>
      </w:r>
      <w:r w:rsidRPr="006725E3">
        <w:rPr>
          <w:rFonts w:ascii="Times New Roman" w:eastAsia="標楷體" w:hAnsi="Times New Roman" w:cs="Times New Roman"/>
          <w:sz w:val="28"/>
          <w:szCs w:val="28"/>
        </w:rPr>
        <w:t>IgG2</w:t>
      </w:r>
      <w:r w:rsidRPr="006725E3">
        <w:rPr>
          <w:rFonts w:ascii="標楷體" w:eastAsia="標楷體" w:hAnsi="標楷體"/>
          <w:sz w:val="28"/>
          <w:szCs w:val="28"/>
        </w:rPr>
        <w:t xml:space="preserve"> 單株抗體，故預 期會經由與內生性 </w:t>
      </w:r>
      <w:r w:rsidRPr="006725E3">
        <w:rPr>
          <w:rFonts w:ascii="Times New Roman" w:eastAsia="標楷體" w:hAnsi="Times New Roman" w:cs="Times New Roman"/>
          <w:sz w:val="28"/>
          <w:szCs w:val="28"/>
        </w:rPr>
        <w:t>IgG</w:t>
      </w:r>
      <w:r w:rsidRPr="006725E3">
        <w:rPr>
          <w:rFonts w:ascii="標楷體" w:eastAsia="標楷體" w:hAnsi="標楷體"/>
          <w:sz w:val="28"/>
          <w:szCs w:val="28"/>
        </w:rPr>
        <w:t xml:space="preserve"> 相似的分解代謝路徑，降</w:t>
      </w:r>
      <w:r w:rsidRPr="006725E3">
        <w:rPr>
          <w:rFonts w:ascii="標楷體" w:eastAsia="標楷體" w:hAnsi="標楷體"/>
          <w:sz w:val="28"/>
          <w:szCs w:val="28"/>
        </w:rPr>
        <w:lastRenderedPageBreak/>
        <w:t>解為小分子胜肽及胺基酸。</w:t>
      </w:r>
    </w:p>
    <w:p w14:paraId="7B4E7B34" w14:textId="77777777" w:rsidR="00685685" w:rsidRPr="006725E3" w:rsidRDefault="00685685">
      <w:pPr>
        <w:rPr>
          <w:rFonts w:ascii="標楷體" w:eastAsia="標楷體" w:hAnsi="標楷體"/>
          <w:sz w:val="28"/>
          <w:szCs w:val="28"/>
        </w:rPr>
      </w:pPr>
      <w:r w:rsidRPr="006725E3">
        <w:rPr>
          <w:rFonts w:ascii="標楷體" w:eastAsia="標楷體" w:hAnsi="標楷體"/>
          <w:sz w:val="28"/>
          <w:szCs w:val="28"/>
        </w:rPr>
        <w:t xml:space="preserve">排除 </w:t>
      </w:r>
    </w:p>
    <w:p w14:paraId="3D18398C" w14:textId="77777777" w:rsidR="00DB5C43" w:rsidRDefault="00685685">
      <w:pPr>
        <w:rPr>
          <w:rFonts w:ascii="標楷體" w:eastAsia="標楷體" w:hAnsi="標楷體"/>
          <w:sz w:val="28"/>
          <w:szCs w:val="28"/>
        </w:rPr>
      </w:pPr>
      <w:r w:rsidRPr="006725E3">
        <w:rPr>
          <w:rFonts w:ascii="Times New Roman" w:eastAsia="標楷體" w:hAnsi="Times New Roman" w:cs="Times New Roman"/>
          <w:sz w:val="28"/>
          <w:szCs w:val="28"/>
        </w:rPr>
        <w:t>Romosozumab</w:t>
      </w:r>
      <w:r w:rsidRPr="006725E3">
        <w:rPr>
          <w:rFonts w:ascii="標楷體" w:eastAsia="標楷體" w:hAnsi="標楷體"/>
          <w:sz w:val="28"/>
          <w:szCs w:val="28"/>
        </w:rPr>
        <w:t xml:space="preserve"> 具非線性藥物動力學特性，隨著劑量的增加，藥物清除率隨之降低。當皮下注 射一劑 </w:t>
      </w:r>
      <w:r w:rsidRPr="006725E3">
        <w:rPr>
          <w:rFonts w:ascii="Times New Roman" w:eastAsia="標楷體" w:hAnsi="Times New Roman" w:cs="Times New Roman"/>
          <w:sz w:val="28"/>
          <w:szCs w:val="28"/>
        </w:rPr>
        <w:t xml:space="preserve">3 </w:t>
      </w:r>
      <w:r w:rsidRPr="006725E3">
        <w:rPr>
          <w:rFonts w:ascii="標楷體" w:eastAsia="標楷體" w:hAnsi="標楷體"/>
          <w:sz w:val="28"/>
          <w:szCs w:val="28"/>
        </w:rPr>
        <w:t>毫克/公斤 (</w:t>
      </w:r>
      <w:r w:rsidRPr="006725E3">
        <w:rPr>
          <w:rFonts w:ascii="Times New Roman" w:eastAsia="標楷體" w:hAnsi="Times New Roman" w:cs="Times New Roman"/>
          <w:sz w:val="28"/>
          <w:szCs w:val="28"/>
        </w:rPr>
        <w:t>70</w:t>
      </w:r>
      <w:r w:rsidRPr="006725E3">
        <w:rPr>
          <w:rFonts w:ascii="標楷體" w:eastAsia="標楷體" w:hAnsi="標楷體"/>
          <w:sz w:val="28"/>
          <w:szCs w:val="28"/>
        </w:rPr>
        <w:t xml:space="preserve"> 公斤女性的核准建議劑量) 的 </w:t>
      </w:r>
      <w:r w:rsidRPr="006725E3">
        <w:rPr>
          <w:rFonts w:ascii="Times New Roman" w:eastAsia="標楷體" w:hAnsi="Times New Roman" w:cs="Times New Roman"/>
          <w:sz w:val="28"/>
          <w:szCs w:val="28"/>
        </w:rPr>
        <w:t>romosozumab</w:t>
      </w:r>
      <w:r w:rsidRPr="006725E3">
        <w:rPr>
          <w:rFonts w:ascii="標楷體" w:eastAsia="標楷體" w:hAnsi="標楷體"/>
          <w:sz w:val="28"/>
          <w:szCs w:val="28"/>
        </w:rPr>
        <w:t xml:space="preserve">，全身清除率 </w:t>
      </w:r>
      <w:r w:rsidRPr="006725E3">
        <w:rPr>
          <w:rFonts w:ascii="Times New Roman" w:eastAsia="標楷體" w:hAnsi="Times New Roman" w:cs="Times New Roman"/>
          <w:sz w:val="28"/>
          <w:szCs w:val="28"/>
        </w:rPr>
        <w:t xml:space="preserve">(CL/F) </w:t>
      </w:r>
      <w:r w:rsidRPr="006725E3">
        <w:rPr>
          <w:rFonts w:ascii="標楷體" w:eastAsia="標楷體" w:hAnsi="標楷體"/>
          <w:sz w:val="28"/>
          <w:szCs w:val="28"/>
        </w:rPr>
        <w:t xml:space="preserve">的估計 平均值為 </w:t>
      </w:r>
      <w:r w:rsidRPr="006725E3">
        <w:rPr>
          <w:rFonts w:ascii="Times New Roman" w:eastAsia="標楷體" w:hAnsi="Times New Roman" w:cs="Times New Roman"/>
          <w:sz w:val="28"/>
          <w:szCs w:val="28"/>
        </w:rPr>
        <w:t xml:space="preserve">0.38 </w:t>
      </w:r>
      <w:r w:rsidRPr="006725E3">
        <w:rPr>
          <w:rFonts w:ascii="標楷體" w:eastAsia="標楷體" w:hAnsi="標楷體"/>
          <w:sz w:val="28"/>
          <w:szCs w:val="28"/>
        </w:rPr>
        <w:t xml:space="preserve">毫升/小時/公斤。每 </w:t>
      </w:r>
      <w:r w:rsidRPr="006725E3">
        <w:rPr>
          <w:rFonts w:ascii="Times New Roman" w:eastAsia="標楷體" w:hAnsi="Times New Roman" w:cs="Times New Roman"/>
          <w:sz w:val="28"/>
          <w:szCs w:val="28"/>
        </w:rPr>
        <w:t xml:space="preserve">4 </w:t>
      </w:r>
      <w:r w:rsidRPr="006725E3">
        <w:rPr>
          <w:rFonts w:ascii="標楷體" w:eastAsia="標楷體" w:hAnsi="標楷體"/>
          <w:sz w:val="28"/>
          <w:szCs w:val="28"/>
        </w:rPr>
        <w:t xml:space="preserve">週皮下注射一劑 </w:t>
      </w:r>
      <w:r w:rsidRPr="006725E3">
        <w:rPr>
          <w:rFonts w:ascii="Times New Roman" w:eastAsia="標楷體" w:hAnsi="Times New Roman" w:cs="Times New Roman"/>
          <w:sz w:val="28"/>
          <w:szCs w:val="28"/>
        </w:rPr>
        <w:t xml:space="preserve">3 </w:t>
      </w:r>
      <w:r w:rsidRPr="006725E3">
        <w:rPr>
          <w:rFonts w:ascii="標楷體" w:eastAsia="標楷體" w:hAnsi="標楷體"/>
          <w:sz w:val="28"/>
          <w:szCs w:val="28"/>
        </w:rPr>
        <w:t xml:space="preserve">毫克/公斤的 </w:t>
      </w:r>
      <w:r w:rsidRPr="006725E3">
        <w:rPr>
          <w:rFonts w:ascii="Times New Roman" w:eastAsia="標楷體" w:hAnsi="Times New Roman" w:cs="Times New Roman"/>
          <w:sz w:val="28"/>
          <w:szCs w:val="28"/>
        </w:rPr>
        <w:t>romosozumab (70</w:t>
      </w:r>
      <w:r w:rsidRPr="006725E3">
        <w:rPr>
          <w:rFonts w:ascii="標楷體" w:eastAsia="標楷體" w:hAnsi="標楷體"/>
          <w:sz w:val="28"/>
          <w:szCs w:val="28"/>
        </w:rPr>
        <w:t xml:space="preserve"> 公斤女性 的核准建議劑量)，共注射</w:t>
      </w:r>
      <w:r w:rsidRPr="006725E3">
        <w:rPr>
          <w:rFonts w:ascii="Times New Roman" w:eastAsia="標楷體" w:hAnsi="Times New Roman" w:cs="Times New Roman"/>
          <w:sz w:val="28"/>
          <w:szCs w:val="28"/>
        </w:rPr>
        <w:t xml:space="preserve"> 3</w:t>
      </w:r>
      <w:r w:rsidRPr="006725E3">
        <w:rPr>
          <w:rFonts w:ascii="標楷體" w:eastAsia="標楷體" w:hAnsi="標楷體"/>
          <w:sz w:val="28"/>
          <w:szCs w:val="28"/>
        </w:rPr>
        <w:t xml:space="preserve"> 劑後，平均有效半衰期</w:t>
      </w:r>
      <w:r w:rsidRPr="006725E3">
        <w:rPr>
          <w:rFonts w:ascii="Times New Roman" w:eastAsia="標楷體" w:hAnsi="Times New Roman" w:cs="Times New Roman"/>
          <w:sz w:val="28"/>
          <w:szCs w:val="28"/>
        </w:rPr>
        <w:t xml:space="preserve"> (t1/2)</w:t>
      </w:r>
      <w:r w:rsidRPr="006725E3">
        <w:rPr>
          <w:rFonts w:ascii="標楷體" w:eastAsia="標楷體" w:hAnsi="標楷體"/>
          <w:sz w:val="28"/>
          <w:szCs w:val="28"/>
        </w:rPr>
        <w:t xml:space="preserve"> 為 </w:t>
      </w:r>
      <w:r w:rsidRPr="006725E3">
        <w:rPr>
          <w:rFonts w:ascii="Times New Roman" w:eastAsia="標楷體" w:hAnsi="Times New Roman" w:cs="Times New Roman"/>
          <w:sz w:val="28"/>
          <w:szCs w:val="28"/>
        </w:rPr>
        <w:t>12.8</w:t>
      </w:r>
      <w:r w:rsidRPr="006725E3">
        <w:rPr>
          <w:rFonts w:ascii="標楷體" w:eastAsia="標楷體" w:hAnsi="標楷體"/>
          <w:sz w:val="28"/>
          <w:szCs w:val="28"/>
        </w:rPr>
        <w:t xml:space="preserve"> 天。</w:t>
      </w:r>
    </w:p>
    <w:p w14:paraId="54731739" w14:textId="6F88F7D0" w:rsidR="00DB5C43" w:rsidRPr="001539BA" w:rsidRDefault="00DB5C43">
      <w:pPr>
        <w:rPr>
          <w:rFonts w:ascii="標楷體" w:eastAsia="標楷體" w:hAnsi="標楷體" w:cs="Arial"/>
          <w:b/>
          <w:bCs/>
          <w:color w:val="FF0000"/>
          <w:sz w:val="28"/>
          <w:szCs w:val="28"/>
          <w:shd w:val="clear" w:color="auto" w:fill="FFFFFF"/>
        </w:rPr>
      </w:pPr>
      <w:r w:rsidRPr="006725E3">
        <w:rPr>
          <w:rStyle w:val="a3"/>
          <w:rFonts w:ascii="標楷體" w:eastAsia="標楷體" w:hAnsi="標楷體" w:cs="Arial" w:hint="eastAsia"/>
          <w:color w:val="FF0000"/>
          <w:sz w:val="28"/>
          <w:szCs w:val="28"/>
          <w:shd w:val="clear" w:color="auto" w:fill="FFFFFF"/>
        </w:rPr>
        <w:t>五</w:t>
      </w:r>
      <w:r w:rsidRPr="006725E3">
        <w:rPr>
          <w:rStyle w:val="a3"/>
          <w:rFonts w:ascii="標楷體" w:eastAsia="標楷體" w:hAnsi="標楷體" w:cs="Arial"/>
          <w:color w:val="FF0000"/>
          <w:sz w:val="28"/>
          <w:szCs w:val="28"/>
          <w:shd w:val="clear" w:color="auto" w:fill="FFFFFF"/>
        </w:rPr>
        <w:t>、</w:t>
      </w:r>
      <w:r>
        <w:rPr>
          <w:rStyle w:val="a3"/>
          <w:rFonts w:ascii="標楷體" w:eastAsia="標楷體" w:hAnsi="標楷體" w:cs="Arial" w:hint="eastAsia"/>
          <w:color w:val="FF0000"/>
          <w:sz w:val="28"/>
          <w:szCs w:val="28"/>
          <w:shd w:val="clear" w:color="auto" w:fill="FFFFFF"/>
        </w:rPr>
        <w:t>衛教資訊</w:t>
      </w:r>
    </w:p>
    <w:p w14:paraId="4DEB7169" w14:textId="3B93DEBC" w:rsidR="00EB428D" w:rsidRPr="00EB428D" w:rsidRDefault="00DB5C43" w:rsidP="00EB428D">
      <w:pPr>
        <w:pStyle w:val="a4"/>
        <w:numPr>
          <w:ilvl w:val="0"/>
          <w:numId w:val="10"/>
        </w:numPr>
        <w:ind w:leftChars="0"/>
        <w:rPr>
          <w:rFonts w:ascii="標楷體" w:eastAsia="標楷體" w:hAnsi="標楷體"/>
          <w:sz w:val="28"/>
          <w:szCs w:val="28"/>
        </w:rPr>
      </w:pPr>
      <w:r w:rsidRPr="00EB428D">
        <w:rPr>
          <w:rFonts w:ascii="標楷體" w:eastAsia="標楷體" w:hAnsi="標楷體"/>
          <w:sz w:val="28"/>
          <w:szCs w:val="28"/>
        </w:rPr>
        <w:t>心臟不良事件</w:t>
      </w:r>
    </w:p>
    <w:p w14:paraId="10339739" w14:textId="463B761F" w:rsidR="00DB5C43" w:rsidRPr="00EB428D" w:rsidRDefault="00DB5C43" w:rsidP="00EB428D">
      <w:pPr>
        <w:rPr>
          <w:rFonts w:ascii="標楷體" w:eastAsia="標楷體" w:hAnsi="標楷體"/>
          <w:sz w:val="28"/>
          <w:szCs w:val="28"/>
        </w:rPr>
      </w:pPr>
      <w:r w:rsidRPr="00EB428D">
        <w:rPr>
          <w:rFonts w:ascii="Times New Roman" w:eastAsia="標楷體" w:hAnsi="Times New Roman" w:cs="Times New Roman"/>
          <w:sz w:val="28"/>
          <w:szCs w:val="28"/>
        </w:rPr>
        <w:t>Romosozumab</w:t>
      </w:r>
      <w:r w:rsidRPr="00EB428D">
        <w:rPr>
          <w:rFonts w:ascii="標楷體" w:eastAsia="標楷體" w:hAnsi="標楷體"/>
          <w:sz w:val="28"/>
          <w:szCs w:val="28"/>
        </w:rPr>
        <w:t xml:space="preserve">可能會增加主要心臟不良事件風險，故不建議使用於一年內有發生心肌梗塞或中風之患者；有其他心血管危險因子之患者，需評估治療的益處與風險。如果在治療期間發生心肌梗塞或中風，應停止使用。 </w:t>
      </w:r>
    </w:p>
    <w:p w14:paraId="6BBAEED7" w14:textId="56740AEF" w:rsidR="00EB428D" w:rsidRPr="00EB428D" w:rsidRDefault="00DB5C43" w:rsidP="00EB428D">
      <w:pPr>
        <w:pStyle w:val="a4"/>
        <w:numPr>
          <w:ilvl w:val="0"/>
          <w:numId w:val="10"/>
        </w:numPr>
        <w:ind w:leftChars="0"/>
        <w:rPr>
          <w:rFonts w:ascii="標楷體" w:eastAsia="標楷體" w:hAnsi="標楷體"/>
          <w:sz w:val="28"/>
          <w:szCs w:val="28"/>
        </w:rPr>
      </w:pPr>
      <w:r w:rsidRPr="00EB428D">
        <w:rPr>
          <w:rFonts w:ascii="標楷體" w:eastAsia="標楷體" w:hAnsi="標楷體"/>
          <w:sz w:val="28"/>
          <w:szCs w:val="28"/>
        </w:rPr>
        <w:t>過敏反應</w:t>
      </w:r>
    </w:p>
    <w:p w14:paraId="0FCB3F75" w14:textId="3048CA5D" w:rsidR="00DB5C43" w:rsidRPr="00EB428D" w:rsidRDefault="00DB5C43" w:rsidP="00EB428D">
      <w:pPr>
        <w:rPr>
          <w:rFonts w:ascii="標楷體" w:eastAsia="標楷體" w:hAnsi="標楷體"/>
          <w:sz w:val="28"/>
          <w:szCs w:val="28"/>
        </w:rPr>
      </w:pPr>
      <w:r w:rsidRPr="00EB428D">
        <w:rPr>
          <w:rFonts w:ascii="標楷體" w:eastAsia="標楷體" w:hAnsi="標楷體"/>
          <w:sz w:val="28"/>
          <w:szCs w:val="28"/>
        </w:rPr>
        <w:t>曾有使用</w:t>
      </w:r>
      <w:r w:rsidRPr="00EB428D">
        <w:rPr>
          <w:rFonts w:ascii="Times New Roman" w:eastAsia="標楷體" w:hAnsi="Times New Roman" w:cs="Times New Roman"/>
          <w:sz w:val="28"/>
          <w:szCs w:val="28"/>
        </w:rPr>
        <w:t>romosozumab</w:t>
      </w:r>
      <w:r w:rsidRPr="00EB428D">
        <w:rPr>
          <w:rFonts w:ascii="標楷體" w:eastAsia="標楷體" w:hAnsi="標楷體"/>
          <w:sz w:val="28"/>
          <w:szCs w:val="28"/>
        </w:rPr>
        <w:t>發生臨床上明顯過敏反應（包括血管性水腫、多形性紅斑、 皮炎、皮疹和蕁麻疹）的報告，若有其他全身性過敏反應，或臨床上明顯過敏反應發生，需立刻給予適當的治療並停止使用本藥。</w:t>
      </w:r>
    </w:p>
    <w:p w14:paraId="128A2F77" w14:textId="033FC57A" w:rsidR="00EB428D" w:rsidRPr="00EB428D" w:rsidRDefault="00DB5C43" w:rsidP="00EB428D">
      <w:pPr>
        <w:pStyle w:val="a4"/>
        <w:numPr>
          <w:ilvl w:val="0"/>
          <w:numId w:val="10"/>
        </w:numPr>
        <w:ind w:leftChars="0"/>
        <w:rPr>
          <w:rFonts w:ascii="標楷體" w:eastAsia="標楷體" w:hAnsi="標楷體"/>
          <w:sz w:val="28"/>
          <w:szCs w:val="28"/>
        </w:rPr>
      </w:pPr>
      <w:r w:rsidRPr="00EB428D">
        <w:rPr>
          <w:rFonts w:ascii="標楷體" w:eastAsia="標楷體" w:hAnsi="標楷體"/>
          <w:sz w:val="28"/>
          <w:szCs w:val="28"/>
        </w:rPr>
        <w:t xml:space="preserve">低鈣血症 </w:t>
      </w:r>
    </w:p>
    <w:p w14:paraId="541E99F5" w14:textId="722F5C33" w:rsidR="00DB5C43" w:rsidRPr="00EB428D" w:rsidRDefault="00DB5C43" w:rsidP="00EB428D">
      <w:pPr>
        <w:rPr>
          <w:rFonts w:ascii="標楷體" w:eastAsia="標楷體" w:hAnsi="標楷體"/>
          <w:sz w:val="28"/>
          <w:szCs w:val="28"/>
        </w:rPr>
      </w:pPr>
      <w:r w:rsidRPr="00EB428D">
        <w:rPr>
          <w:rFonts w:ascii="Times New Roman" w:eastAsia="標楷體" w:hAnsi="Times New Roman" w:cs="Times New Roman"/>
          <w:sz w:val="28"/>
          <w:szCs w:val="28"/>
        </w:rPr>
        <w:t>Romosozumab</w:t>
      </w:r>
      <w:r w:rsidRPr="00EB428D">
        <w:rPr>
          <w:rFonts w:ascii="標楷體" w:eastAsia="標楷體" w:hAnsi="標楷體"/>
          <w:sz w:val="28"/>
          <w:szCs w:val="28"/>
        </w:rPr>
        <w:t>禁用於低鈣血症患者，若欲使用，需先矯治低血鈣情形，在治療期間要補充足夠鈣和維生素</w:t>
      </w:r>
      <w:r w:rsidRPr="00EB428D">
        <w:rPr>
          <w:rFonts w:ascii="Times New Roman" w:eastAsia="標楷體" w:hAnsi="Times New Roman" w:cs="Times New Roman"/>
          <w:sz w:val="28"/>
          <w:szCs w:val="28"/>
        </w:rPr>
        <w:t>D</w:t>
      </w:r>
      <w:r w:rsidRPr="00EB428D">
        <w:rPr>
          <w:rFonts w:ascii="標楷體" w:eastAsia="標楷體" w:hAnsi="標楷體"/>
          <w:sz w:val="28"/>
          <w:szCs w:val="28"/>
        </w:rPr>
        <w:t xml:space="preserve">，並監測血鈣濃度，尤其是易有低鈣血症的患者（如 嚴重腎功能不全和/或接受透析者）。 </w:t>
      </w:r>
    </w:p>
    <w:p w14:paraId="163BD200" w14:textId="223E15BB" w:rsidR="00EB428D" w:rsidRPr="00EB428D" w:rsidRDefault="00DB5C43" w:rsidP="00EB428D">
      <w:pPr>
        <w:pStyle w:val="a4"/>
        <w:numPr>
          <w:ilvl w:val="0"/>
          <w:numId w:val="10"/>
        </w:numPr>
        <w:ind w:leftChars="0"/>
        <w:rPr>
          <w:rFonts w:ascii="標楷體" w:eastAsia="標楷體" w:hAnsi="標楷體"/>
          <w:sz w:val="28"/>
          <w:szCs w:val="28"/>
        </w:rPr>
      </w:pPr>
      <w:r w:rsidRPr="00EB428D">
        <w:rPr>
          <w:rFonts w:ascii="標楷體" w:eastAsia="標楷體" w:hAnsi="標楷體"/>
          <w:sz w:val="28"/>
          <w:szCs w:val="28"/>
        </w:rPr>
        <w:lastRenderedPageBreak/>
        <w:t>顎骨壞死</w:t>
      </w:r>
    </w:p>
    <w:p w14:paraId="009B9778" w14:textId="0A3AFC84" w:rsidR="00EB428D" w:rsidRPr="00242D52" w:rsidRDefault="00DB5C43" w:rsidP="00242D52">
      <w:pPr>
        <w:rPr>
          <w:rFonts w:ascii="標楷體" w:eastAsia="標楷體" w:hAnsi="標楷體"/>
          <w:sz w:val="28"/>
          <w:szCs w:val="28"/>
        </w:rPr>
      </w:pPr>
      <w:r w:rsidRPr="00242D52">
        <w:rPr>
          <w:rFonts w:ascii="標楷體" w:eastAsia="標楷體" w:hAnsi="標楷體"/>
          <w:sz w:val="28"/>
          <w:szCs w:val="28"/>
        </w:rPr>
        <w:t>已有使用</w:t>
      </w:r>
      <w:r w:rsidRPr="00242D52">
        <w:rPr>
          <w:rFonts w:ascii="Times New Roman" w:eastAsia="標楷體" w:hAnsi="Times New Roman" w:cs="Times New Roman"/>
          <w:sz w:val="28"/>
          <w:szCs w:val="28"/>
        </w:rPr>
        <w:t>romosozumab</w:t>
      </w:r>
      <w:r w:rsidRPr="00242D52">
        <w:rPr>
          <w:rFonts w:ascii="標楷體" w:eastAsia="標楷體" w:hAnsi="標楷體"/>
          <w:sz w:val="28"/>
          <w:szCs w:val="28"/>
        </w:rPr>
        <w:t>患者發生</w:t>
      </w:r>
      <w:r w:rsidR="00EB428D" w:rsidRPr="00242D52">
        <w:rPr>
          <w:rFonts w:ascii="標楷體" w:eastAsia="標楷體" w:hAnsi="標楷體"/>
          <w:sz w:val="28"/>
          <w:szCs w:val="28"/>
        </w:rPr>
        <w:t>顎骨壞死的報告。在開</w:t>
      </w:r>
      <w:r w:rsidR="00EB428D" w:rsidRPr="00242D52">
        <w:rPr>
          <w:rFonts w:ascii="標楷體" w:eastAsia="標楷體" w:hAnsi="標楷體" w:hint="eastAsia"/>
          <w:sz w:val="28"/>
          <w:szCs w:val="28"/>
        </w:rPr>
        <w:t>始</w:t>
      </w:r>
    </w:p>
    <w:p w14:paraId="66CDB2E6" w14:textId="0B53F2CF" w:rsidR="00EB428D" w:rsidRPr="00EB428D" w:rsidRDefault="00DB5C43" w:rsidP="00EB428D">
      <w:pPr>
        <w:rPr>
          <w:rFonts w:ascii="標楷體" w:eastAsia="標楷體" w:hAnsi="標楷體"/>
          <w:sz w:val="28"/>
          <w:szCs w:val="28"/>
        </w:rPr>
      </w:pPr>
      <w:r w:rsidRPr="00EB428D">
        <w:rPr>
          <w:rFonts w:ascii="Times New Roman" w:eastAsia="標楷體" w:hAnsi="Times New Roman" w:cs="Times New Roman"/>
          <w:sz w:val="28"/>
          <w:szCs w:val="28"/>
        </w:rPr>
        <w:t>romosozumab</w:t>
      </w:r>
      <w:r w:rsidRPr="00EB428D">
        <w:rPr>
          <w:rFonts w:ascii="標楷體" w:eastAsia="標楷體" w:hAnsi="標楷體"/>
          <w:sz w:val="28"/>
          <w:szCs w:val="28"/>
        </w:rPr>
        <w:t>治療前，建議進行常規口腔檢查，治療期間也應保持良好口腔衛生習慣。同時使用與</w:t>
      </w:r>
      <w:r w:rsidR="00EB428D" w:rsidRPr="00EB428D">
        <w:rPr>
          <w:rFonts w:ascii="標楷體" w:eastAsia="標楷體" w:hAnsi="標楷體"/>
          <w:sz w:val="28"/>
          <w:szCs w:val="28"/>
        </w:rPr>
        <w:t>顎骨壞死</w:t>
      </w:r>
      <w:r w:rsidRPr="00EB428D">
        <w:rPr>
          <w:rFonts w:ascii="標楷體" w:eastAsia="標楷體" w:hAnsi="標楷體"/>
          <w:sz w:val="28"/>
          <w:szCs w:val="28"/>
        </w:rPr>
        <w:t>相關的藥物（如化療、雙磷酸鹽、</w:t>
      </w:r>
      <w:r w:rsidRPr="00EB428D">
        <w:rPr>
          <w:rFonts w:ascii="Times New Roman" w:eastAsia="標楷體" w:hAnsi="Times New Roman" w:cs="Times New Roman"/>
          <w:sz w:val="28"/>
          <w:szCs w:val="28"/>
        </w:rPr>
        <w:t>denosumab</w:t>
      </w:r>
      <w:r w:rsidRPr="00EB428D">
        <w:rPr>
          <w:rFonts w:ascii="標楷體" w:eastAsia="標楷體" w:hAnsi="標楷體"/>
          <w:sz w:val="28"/>
          <w:szCs w:val="28"/>
        </w:rPr>
        <w:t>、血管新生抑製劑和類固醇）可能會增加</w:t>
      </w:r>
      <w:r w:rsidR="00EB428D" w:rsidRPr="00EB428D">
        <w:rPr>
          <w:rFonts w:ascii="標楷體" w:eastAsia="標楷體" w:hAnsi="標楷體"/>
          <w:sz w:val="28"/>
          <w:szCs w:val="28"/>
        </w:rPr>
        <w:t>顎骨壞死</w:t>
      </w:r>
      <w:r w:rsidRPr="00EB428D">
        <w:rPr>
          <w:rFonts w:ascii="標楷體" w:eastAsia="標楷體" w:hAnsi="標楷體"/>
          <w:sz w:val="28"/>
          <w:szCs w:val="28"/>
        </w:rPr>
        <w:t>發生的風險。治療期間若發生</w:t>
      </w:r>
      <w:r w:rsidR="00EB428D" w:rsidRPr="00EB428D">
        <w:rPr>
          <w:rFonts w:ascii="標楷體" w:eastAsia="標楷體" w:hAnsi="標楷體"/>
          <w:sz w:val="28"/>
          <w:szCs w:val="28"/>
        </w:rPr>
        <w:t>顎骨壞死</w:t>
      </w:r>
      <w:r w:rsidRPr="00EB428D">
        <w:rPr>
          <w:rFonts w:ascii="Times New Roman" w:eastAsia="標楷體" w:hAnsi="Times New Roman" w:cs="Times New Roman"/>
          <w:sz w:val="28"/>
          <w:szCs w:val="28"/>
        </w:rPr>
        <w:t>，</w:t>
      </w:r>
      <w:r w:rsidRPr="00EB428D">
        <w:rPr>
          <w:rFonts w:ascii="標楷體" w:eastAsia="標楷體" w:hAnsi="標楷體"/>
          <w:sz w:val="28"/>
          <w:szCs w:val="28"/>
        </w:rPr>
        <w:t>應諮詢牙醫或口腔外科醫生，並評估是否停止使用</w:t>
      </w:r>
      <w:r w:rsidRPr="00EB428D">
        <w:rPr>
          <w:rFonts w:ascii="Times New Roman" w:eastAsia="標楷體" w:hAnsi="Times New Roman" w:cs="Times New Roman"/>
          <w:sz w:val="28"/>
          <w:szCs w:val="28"/>
        </w:rPr>
        <w:t>romosozumab</w:t>
      </w:r>
      <w:r w:rsidRPr="00EB428D">
        <w:rPr>
          <w:rFonts w:ascii="標楷體" w:eastAsia="標楷體" w:hAnsi="標楷體"/>
          <w:sz w:val="28"/>
          <w:szCs w:val="28"/>
        </w:rPr>
        <w:t xml:space="preserve">。 </w:t>
      </w:r>
    </w:p>
    <w:p w14:paraId="1E653132" w14:textId="5DC02B44" w:rsidR="00DB5C43" w:rsidRPr="00EB428D" w:rsidRDefault="00DB5C43">
      <w:pPr>
        <w:rPr>
          <w:rFonts w:ascii="標楷體" w:eastAsia="標楷體" w:hAnsi="標楷體"/>
          <w:sz w:val="28"/>
          <w:szCs w:val="28"/>
        </w:rPr>
      </w:pPr>
      <w:r w:rsidRPr="00EB428D">
        <w:rPr>
          <w:rFonts w:ascii="標楷體" w:eastAsia="標楷體" w:hAnsi="標楷體"/>
          <w:sz w:val="28"/>
          <w:szCs w:val="28"/>
        </w:rPr>
        <w:t>五、非典型股骨粗隆下骨折與骨幹骨折之前有使用</w:t>
      </w:r>
      <w:r w:rsidRPr="00EB428D">
        <w:rPr>
          <w:rFonts w:ascii="Times New Roman" w:eastAsia="標楷體" w:hAnsi="Times New Roman" w:cs="Times New Roman"/>
          <w:sz w:val="28"/>
          <w:szCs w:val="28"/>
        </w:rPr>
        <w:t>denosumab</w:t>
      </w:r>
      <w:r w:rsidRPr="00EB428D">
        <w:rPr>
          <w:rFonts w:ascii="標楷體" w:eastAsia="標楷體" w:hAnsi="標楷體"/>
          <w:sz w:val="28"/>
          <w:szCs w:val="28"/>
        </w:rPr>
        <w:t>患者發生非典型股骨骨折的報告，此類骨折通常發生在創 傷極小或無創傷情況，且可能雙側都發生，又在骨折前數週至數月有前驅疼痛的現象；使用</w:t>
      </w:r>
      <w:r w:rsidRPr="00EB428D">
        <w:rPr>
          <w:rFonts w:ascii="Times New Roman" w:eastAsia="標楷體" w:hAnsi="Times New Roman" w:cs="Times New Roman"/>
          <w:sz w:val="28"/>
          <w:szCs w:val="28"/>
        </w:rPr>
        <w:t>romosozumab</w:t>
      </w:r>
      <w:r w:rsidRPr="00EB428D">
        <w:rPr>
          <w:rFonts w:ascii="標楷體" w:eastAsia="標楷體" w:hAnsi="標楷體"/>
          <w:sz w:val="28"/>
          <w:szCs w:val="28"/>
        </w:rPr>
        <w:t>治療期間，任何患有大腿或腹股溝疼痛的患者都應懷疑有非典型的股骨骨折，並進行評估是否停止治療。</w:t>
      </w:r>
    </w:p>
    <w:p w14:paraId="4521513B" w14:textId="2D7C16B5" w:rsidR="00327E7C" w:rsidRPr="006725E3" w:rsidRDefault="00DB5C43">
      <w:pPr>
        <w:rPr>
          <w:rFonts w:ascii="標楷體" w:eastAsia="標楷體" w:hAnsi="標楷體"/>
          <w:sz w:val="28"/>
          <w:szCs w:val="28"/>
        </w:rPr>
      </w:pPr>
      <w:r>
        <w:rPr>
          <w:rStyle w:val="a3"/>
          <w:rFonts w:ascii="標楷體" w:eastAsia="標楷體" w:hAnsi="標楷體" w:cs="Arial" w:hint="eastAsia"/>
          <w:color w:val="FF0000"/>
          <w:sz w:val="28"/>
          <w:szCs w:val="28"/>
          <w:shd w:val="clear" w:color="auto" w:fill="FFFFFF"/>
        </w:rPr>
        <w:t>六</w:t>
      </w:r>
      <w:r w:rsidR="00E414B8" w:rsidRPr="006725E3">
        <w:rPr>
          <w:rStyle w:val="a3"/>
          <w:rFonts w:ascii="標楷體" w:eastAsia="標楷體" w:hAnsi="標楷體" w:cs="Arial"/>
          <w:color w:val="FF0000"/>
          <w:sz w:val="28"/>
          <w:szCs w:val="28"/>
          <w:shd w:val="clear" w:color="auto" w:fill="FFFFFF"/>
        </w:rPr>
        <w:t>、資料來源</w:t>
      </w:r>
      <w:r w:rsidR="00E414B8" w:rsidRPr="006725E3">
        <w:rPr>
          <w:rFonts w:ascii="標楷體" w:eastAsia="標楷體" w:hAnsi="標楷體" w:cs="Arial"/>
          <w:color w:val="FF0000"/>
          <w:sz w:val="28"/>
          <w:szCs w:val="28"/>
        </w:rPr>
        <w:br/>
      </w:r>
      <w:r w:rsidR="00827BC1" w:rsidRPr="006725E3">
        <w:rPr>
          <w:rFonts w:ascii="標楷體" w:eastAsia="標楷體" w:hAnsi="標楷體" w:cs="Arial" w:hint="eastAsia"/>
          <w:color w:val="333333"/>
          <w:sz w:val="28"/>
          <w:szCs w:val="28"/>
          <w:shd w:val="clear" w:color="auto" w:fill="FFFFFF"/>
        </w:rPr>
        <w:t>藥品仿單</w:t>
      </w:r>
    </w:p>
    <w:sectPr w:rsidR="00327E7C" w:rsidRPr="006725E3" w:rsidSect="00886601">
      <w:pgSz w:w="11906" w:h="16838"/>
      <w:pgMar w:top="1440" w:right="991" w:bottom="709"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ED3C293" w14:textId="77777777" w:rsidR="00A21F4C" w:rsidRDefault="00A21F4C" w:rsidP="000E23C8">
      <w:r>
        <w:separator/>
      </w:r>
    </w:p>
  </w:endnote>
  <w:endnote w:type="continuationSeparator" w:id="0">
    <w:p w14:paraId="3017A37E" w14:textId="77777777" w:rsidR="00A21F4C" w:rsidRDefault="00A21F4C" w:rsidP="000E23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notTrueType/>
    <w:pitch w:val="fixed"/>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B6875B3" w14:textId="77777777" w:rsidR="00A21F4C" w:rsidRDefault="00A21F4C" w:rsidP="000E23C8">
      <w:r>
        <w:separator/>
      </w:r>
    </w:p>
  </w:footnote>
  <w:footnote w:type="continuationSeparator" w:id="0">
    <w:p w14:paraId="7BBDC138" w14:textId="77777777" w:rsidR="00A21F4C" w:rsidRDefault="00A21F4C" w:rsidP="000E23C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3B06B5"/>
    <w:multiLevelType w:val="hybridMultilevel"/>
    <w:tmpl w:val="CB309788"/>
    <w:lvl w:ilvl="0" w:tplc="7B76C186">
      <w:start w:val="1"/>
      <w:numFmt w:val="taiwaneseCountingThousand"/>
      <w:lvlText w:val="%1、"/>
      <w:lvlJc w:val="left"/>
      <w:pPr>
        <w:ind w:left="510" w:hanging="510"/>
      </w:pPr>
      <w:rPr>
        <w:rFonts w:cs="Arial" w:hint="default"/>
        <w:b/>
        <w:color w:val="FF000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2036BDF"/>
    <w:multiLevelType w:val="hybridMultilevel"/>
    <w:tmpl w:val="B978BE86"/>
    <w:lvl w:ilvl="0" w:tplc="C98446C2">
      <w:start w:val="1"/>
      <w:numFmt w:val="bullet"/>
      <w:lvlText w:val=""/>
      <w:lvlJc w:val="left"/>
      <w:pPr>
        <w:ind w:left="1330" w:hanging="480"/>
      </w:pPr>
      <w:rPr>
        <w:rFonts w:ascii="Wingdings" w:hAnsi="Wingdings" w:hint="default"/>
        <w:sz w:val="16"/>
        <w:szCs w:val="16"/>
      </w:rPr>
    </w:lvl>
    <w:lvl w:ilvl="1" w:tplc="04090003" w:tentative="1">
      <w:start w:val="1"/>
      <w:numFmt w:val="bullet"/>
      <w:lvlText w:val=""/>
      <w:lvlJc w:val="left"/>
      <w:pPr>
        <w:ind w:left="1810" w:hanging="480"/>
      </w:pPr>
      <w:rPr>
        <w:rFonts w:ascii="Wingdings" w:hAnsi="Wingdings" w:hint="default"/>
      </w:rPr>
    </w:lvl>
    <w:lvl w:ilvl="2" w:tplc="04090005" w:tentative="1">
      <w:start w:val="1"/>
      <w:numFmt w:val="bullet"/>
      <w:lvlText w:val=""/>
      <w:lvlJc w:val="left"/>
      <w:pPr>
        <w:ind w:left="2290" w:hanging="480"/>
      </w:pPr>
      <w:rPr>
        <w:rFonts w:ascii="Wingdings" w:hAnsi="Wingdings" w:hint="default"/>
      </w:rPr>
    </w:lvl>
    <w:lvl w:ilvl="3" w:tplc="04090001" w:tentative="1">
      <w:start w:val="1"/>
      <w:numFmt w:val="bullet"/>
      <w:lvlText w:val=""/>
      <w:lvlJc w:val="left"/>
      <w:pPr>
        <w:ind w:left="2770" w:hanging="480"/>
      </w:pPr>
      <w:rPr>
        <w:rFonts w:ascii="Wingdings" w:hAnsi="Wingdings" w:hint="default"/>
      </w:rPr>
    </w:lvl>
    <w:lvl w:ilvl="4" w:tplc="04090003" w:tentative="1">
      <w:start w:val="1"/>
      <w:numFmt w:val="bullet"/>
      <w:lvlText w:val=""/>
      <w:lvlJc w:val="left"/>
      <w:pPr>
        <w:ind w:left="3250" w:hanging="480"/>
      </w:pPr>
      <w:rPr>
        <w:rFonts w:ascii="Wingdings" w:hAnsi="Wingdings" w:hint="default"/>
      </w:rPr>
    </w:lvl>
    <w:lvl w:ilvl="5" w:tplc="04090005" w:tentative="1">
      <w:start w:val="1"/>
      <w:numFmt w:val="bullet"/>
      <w:lvlText w:val=""/>
      <w:lvlJc w:val="left"/>
      <w:pPr>
        <w:ind w:left="3730" w:hanging="480"/>
      </w:pPr>
      <w:rPr>
        <w:rFonts w:ascii="Wingdings" w:hAnsi="Wingdings" w:hint="default"/>
      </w:rPr>
    </w:lvl>
    <w:lvl w:ilvl="6" w:tplc="04090001" w:tentative="1">
      <w:start w:val="1"/>
      <w:numFmt w:val="bullet"/>
      <w:lvlText w:val=""/>
      <w:lvlJc w:val="left"/>
      <w:pPr>
        <w:ind w:left="4210" w:hanging="480"/>
      </w:pPr>
      <w:rPr>
        <w:rFonts w:ascii="Wingdings" w:hAnsi="Wingdings" w:hint="default"/>
      </w:rPr>
    </w:lvl>
    <w:lvl w:ilvl="7" w:tplc="04090003" w:tentative="1">
      <w:start w:val="1"/>
      <w:numFmt w:val="bullet"/>
      <w:lvlText w:val=""/>
      <w:lvlJc w:val="left"/>
      <w:pPr>
        <w:ind w:left="4690" w:hanging="480"/>
      </w:pPr>
      <w:rPr>
        <w:rFonts w:ascii="Wingdings" w:hAnsi="Wingdings" w:hint="default"/>
      </w:rPr>
    </w:lvl>
    <w:lvl w:ilvl="8" w:tplc="04090005" w:tentative="1">
      <w:start w:val="1"/>
      <w:numFmt w:val="bullet"/>
      <w:lvlText w:val=""/>
      <w:lvlJc w:val="left"/>
      <w:pPr>
        <w:ind w:left="5170" w:hanging="480"/>
      </w:pPr>
      <w:rPr>
        <w:rFonts w:ascii="Wingdings" w:hAnsi="Wingdings" w:hint="default"/>
      </w:rPr>
    </w:lvl>
  </w:abstractNum>
  <w:abstractNum w:abstractNumId="2" w15:restartNumberingAfterBreak="0">
    <w:nsid w:val="271A58FE"/>
    <w:multiLevelType w:val="hybridMultilevel"/>
    <w:tmpl w:val="D5BC3096"/>
    <w:lvl w:ilvl="0" w:tplc="04090015">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294A403A"/>
    <w:multiLevelType w:val="multilevel"/>
    <w:tmpl w:val="50D0BF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A6458DD"/>
    <w:multiLevelType w:val="hybridMultilevel"/>
    <w:tmpl w:val="702A9EA6"/>
    <w:lvl w:ilvl="0" w:tplc="D372756A">
      <w:start w:val="1"/>
      <w:numFmt w:val="bullet"/>
      <w:lvlText w:val=""/>
      <w:lvlJc w:val="left"/>
      <w:pPr>
        <w:ind w:left="1330" w:hanging="480"/>
      </w:pPr>
      <w:rPr>
        <w:rFonts w:ascii="Wingdings" w:hAnsi="Wingdings" w:hint="default"/>
        <w:sz w:val="16"/>
        <w:szCs w:val="16"/>
      </w:rPr>
    </w:lvl>
    <w:lvl w:ilvl="1" w:tplc="04090019" w:tentative="1">
      <w:start w:val="1"/>
      <w:numFmt w:val="ideographTraditional"/>
      <w:lvlText w:val="%2、"/>
      <w:lvlJc w:val="left"/>
      <w:pPr>
        <w:ind w:left="1810" w:hanging="480"/>
      </w:pPr>
    </w:lvl>
    <w:lvl w:ilvl="2" w:tplc="0409001B" w:tentative="1">
      <w:start w:val="1"/>
      <w:numFmt w:val="lowerRoman"/>
      <w:lvlText w:val="%3."/>
      <w:lvlJc w:val="right"/>
      <w:pPr>
        <w:ind w:left="2290" w:hanging="480"/>
      </w:pPr>
    </w:lvl>
    <w:lvl w:ilvl="3" w:tplc="0409000F" w:tentative="1">
      <w:start w:val="1"/>
      <w:numFmt w:val="decimal"/>
      <w:lvlText w:val="%4."/>
      <w:lvlJc w:val="left"/>
      <w:pPr>
        <w:ind w:left="2770" w:hanging="480"/>
      </w:pPr>
    </w:lvl>
    <w:lvl w:ilvl="4" w:tplc="04090019" w:tentative="1">
      <w:start w:val="1"/>
      <w:numFmt w:val="ideographTraditional"/>
      <w:lvlText w:val="%5、"/>
      <w:lvlJc w:val="left"/>
      <w:pPr>
        <w:ind w:left="3250" w:hanging="480"/>
      </w:pPr>
    </w:lvl>
    <w:lvl w:ilvl="5" w:tplc="0409001B" w:tentative="1">
      <w:start w:val="1"/>
      <w:numFmt w:val="lowerRoman"/>
      <w:lvlText w:val="%6."/>
      <w:lvlJc w:val="right"/>
      <w:pPr>
        <w:ind w:left="3730" w:hanging="480"/>
      </w:pPr>
    </w:lvl>
    <w:lvl w:ilvl="6" w:tplc="0409000F" w:tentative="1">
      <w:start w:val="1"/>
      <w:numFmt w:val="decimal"/>
      <w:lvlText w:val="%7."/>
      <w:lvlJc w:val="left"/>
      <w:pPr>
        <w:ind w:left="4210" w:hanging="480"/>
      </w:pPr>
    </w:lvl>
    <w:lvl w:ilvl="7" w:tplc="04090019" w:tentative="1">
      <w:start w:val="1"/>
      <w:numFmt w:val="ideographTraditional"/>
      <w:lvlText w:val="%8、"/>
      <w:lvlJc w:val="left"/>
      <w:pPr>
        <w:ind w:left="4690" w:hanging="480"/>
      </w:pPr>
    </w:lvl>
    <w:lvl w:ilvl="8" w:tplc="0409001B" w:tentative="1">
      <w:start w:val="1"/>
      <w:numFmt w:val="lowerRoman"/>
      <w:lvlText w:val="%9."/>
      <w:lvlJc w:val="right"/>
      <w:pPr>
        <w:ind w:left="5170" w:hanging="480"/>
      </w:pPr>
    </w:lvl>
  </w:abstractNum>
  <w:abstractNum w:abstractNumId="5" w15:restartNumberingAfterBreak="0">
    <w:nsid w:val="417F6485"/>
    <w:multiLevelType w:val="hybridMultilevel"/>
    <w:tmpl w:val="429E1B5C"/>
    <w:lvl w:ilvl="0" w:tplc="C172E90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5A204E70"/>
    <w:multiLevelType w:val="hybridMultilevel"/>
    <w:tmpl w:val="C84A4B0A"/>
    <w:lvl w:ilvl="0" w:tplc="55A05BA0">
      <w:start w:val="1"/>
      <w:numFmt w:val="bullet"/>
      <w:lvlText w:val=""/>
      <w:lvlJc w:val="left"/>
      <w:pPr>
        <w:ind w:left="1472" w:hanging="480"/>
      </w:pPr>
      <w:rPr>
        <w:rFonts w:ascii="Wingdings" w:hAnsi="Wingdings" w:hint="default"/>
        <w:sz w:val="16"/>
        <w:szCs w:val="16"/>
      </w:rPr>
    </w:lvl>
    <w:lvl w:ilvl="1" w:tplc="04090003" w:tentative="1">
      <w:start w:val="1"/>
      <w:numFmt w:val="bullet"/>
      <w:lvlText w:val=""/>
      <w:lvlJc w:val="left"/>
      <w:pPr>
        <w:ind w:left="1952" w:hanging="480"/>
      </w:pPr>
      <w:rPr>
        <w:rFonts w:ascii="Wingdings" w:hAnsi="Wingdings" w:hint="default"/>
      </w:rPr>
    </w:lvl>
    <w:lvl w:ilvl="2" w:tplc="04090005" w:tentative="1">
      <w:start w:val="1"/>
      <w:numFmt w:val="bullet"/>
      <w:lvlText w:val=""/>
      <w:lvlJc w:val="left"/>
      <w:pPr>
        <w:ind w:left="2432" w:hanging="480"/>
      </w:pPr>
      <w:rPr>
        <w:rFonts w:ascii="Wingdings" w:hAnsi="Wingdings" w:hint="default"/>
      </w:rPr>
    </w:lvl>
    <w:lvl w:ilvl="3" w:tplc="04090001" w:tentative="1">
      <w:start w:val="1"/>
      <w:numFmt w:val="bullet"/>
      <w:lvlText w:val=""/>
      <w:lvlJc w:val="left"/>
      <w:pPr>
        <w:ind w:left="2912" w:hanging="480"/>
      </w:pPr>
      <w:rPr>
        <w:rFonts w:ascii="Wingdings" w:hAnsi="Wingdings" w:hint="default"/>
      </w:rPr>
    </w:lvl>
    <w:lvl w:ilvl="4" w:tplc="04090003" w:tentative="1">
      <w:start w:val="1"/>
      <w:numFmt w:val="bullet"/>
      <w:lvlText w:val=""/>
      <w:lvlJc w:val="left"/>
      <w:pPr>
        <w:ind w:left="3392" w:hanging="480"/>
      </w:pPr>
      <w:rPr>
        <w:rFonts w:ascii="Wingdings" w:hAnsi="Wingdings" w:hint="default"/>
      </w:rPr>
    </w:lvl>
    <w:lvl w:ilvl="5" w:tplc="04090005" w:tentative="1">
      <w:start w:val="1"/>
      <w:numFmt w:val="bullet"/>
      <w:lvlText w:val=""/>
      <w:lvlJc w:val="left"/>
      <w:pPr>
        <w:ind w:left="3872" w:hanging="480"/>
      </w:pPr>
      <w:rPr>
        <w:rFonts w:ascii="Wingdings" w:hAnsi="Wingdings" w:hint="default"/>
      </w:rPr>
    </w:lvl>
    <w:lvl w:ilvl="6" w:tplc="04090001" w:tentative="1">
      <w:start w:val="1"/>
      <w:numFmt w:val="bullet"/>
      <w:lvlText w:val=""/>
      <w:lvlJc w:val="left"/>
      <w:pPr>
        <w:ind w:left="4352" w:hanging="480"/>
      </w:pPr>
      <w:rPr>
        <w:rFonts w:ascii="Wingdings" w:hAnsi="Wingdings" w:hint="default"/>
      </w:rPr>
    </w:lvl>
    <w:lvl w:ilvl="7" w:tplc="04090003" w:tentative="1">
      <w:start w:val="1"/>
      <w:numFmt w:val="bullet"/>
      <w:lvlText w:val=""/>
      <w:lvlJc w:val="left"/>
      <w:pPr>
        <w:ind w:left="4832" w:hanging="480"/>
      </w:pPr>
      <w:rPr>
        <w:rFonts w:ascii="Wingdings" w:hAnsi="Wingdings" w:hint="default"/>
      </w:rPr>
    </w:lvl>
    <w:lvl w:ilvl="8" w:tplc="04090005" w:tentative="1">
      <w:start w:val="1"/>
      <w:numFmt w:val="bullet"/>
      <w:lvlText w:val=""/>
      <w:lvlJc w:val="left"/>
      <w:pPr>
        <w:ind w:left="5312" w:hanging="480"/>
      </w:pPr>
      <w:rPr>
        <w:rFonts w:ascii="Wingdings" w:hAnsi="Wingdings" w:hint="default"/>
      </w:rPr>
    </w:lvl>
  </w:abstractNum>
  <w:abstractNum w:abstractNumId="7" w15:restartNumberingAfterBreak="0">
    <w:nsid w:val="5C8F1313"/>
    <w:multiLevelType w:val="multilevel"/>
    <w:tmpl w:val="EA8CA5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5D02CD0"/>
    <w:multiLevelType w:val="hybridMultilevel"/>
    <w:tmpl w:val="B2CA7D70"/>
    <w:lvl w:ilvl="0" w:tplc="B8A6347E">
      <w:start w:val="1"/>
      <w:numFmt w:val="bullet"/>
      <w:lvlText w:val=""/>
      <w:lvlJc w:val="left"/>
      <w:pPr>
        <w:ind w:left="1472" w:hanging="480"/>
      </w:pPr>
      <w:rPr>
        <w:rFonts w:ascii="Wingdings" w:hAnsi="Wingdings" w:hint="default"/>
        <w:sz w:val="16"/>
        <w:szCs w:val="16"/>
      </w:rPr>
    </w:lvl>
    <w:lvl w:ilvl="1" w:tplc="04090003" w:tentative="1">
      <w:start w:val="1"/>
      <w:numFmt w:val="bullet"/>
      <w:lvlText w:val=""/>
      <w:lvlJc w:val="left"/>
      <w:pPr>
        <w:ind w:left="1952" w:hanging="480"/>
      </w:pPr>
      <w:rPr>
        <w:rFonts w:ascii="Wingdings" w:hAnsi="Wingdings" w:hint="default"/>
      </w:rPr>
    </w:lvl>
    <w:lvl w:ilvl="2" w:tplc="04090005" w:tentative="1">
      <w:start w:val="1"/>
      <w:numFmt w:val="bullet"/>
      <w:lvlText w:val=""/>
      <w:lvlJc w:val="left"/>
      <w:pPr>
        <w:ind w:left="2432" w:hanging="480"/>
      </w:pPr>
      <w:rPr>
        <w:rFonts w:ascii="Wingdings" w:hAnsi="Wingdings" w:hint="default"/>
      </w:rPr>
    </w:lvl>
    <w:lvl w:ilvl="3" w:tplc="04090001" w:tentative="1">
      <w:start w:val="1"/>
      <w:numFmt w:val="bullet"/>
      <w:lvlText w:val=""/>
      <w:lvlJc w:val="left"/>
      <w:pPr>
        <w:ind w:left="2912" w:hanging="480"/>
      </w:pPr>
      <w:rPr>
        <w:rFonts w:ascii="Wingdings" w:hAnsi="Wingdings" w:hint="default"/>
      </w:rPr>
    </w:lvl>
    <w:lvl w:ilvl="4" w:tplc="04090003" w:tentative="1">
      <w:start w:val="1"/>
      <w:numFmt w:val="bullet"/>
      <w:lvlText w:val=""/>
      <w:lvlJc w:val="left"/>
      <w:pPr>
        <w:ind w:left="3392" w:hanging="480"/>
      </w:pPr>
      <w:rPr>
        <w:rFonts w:ascii="Wingdings" w:hAnsi="Wingdings" w:hint="default"/>
      </w:rPr>
    </w:lvl>
    <w:lvl w:ilvl="5" w:tplc="04090005" w:tentative="1">
      <w:start w:val="1"/>
      <w:numFmt w:val="bullet"/>
      <w:lvlText w:val=""/>
      <w:lvlJc w:val="left"/>
      <w:pPr>
        <w:ind w:left="3872" w:hanging="480"/>
      </w:pPr>
      <w:rPr>
        <w:rFonts w:ascii="Wingdings" w:hAnsi="Wingdings" w:hint="default"/>
      </w:rPr>
    </w:lvl>
    <w:lvl w:ilvl="6" w:tplc="04090001" w:tentative="1">
      <w:start w:val="1"/>
      <w:numFmt w:val="bullet"/>
      <w:lvlText w:val=""/>
      <w:lvlJc w:val="left"/>
      <w:pPr>
        <w:ind w:left="4352" w:hanging="480"/>
      </w:pPr>
      <w:rPr>
        <w:rFonts w:ascii="Wingdings" w:hAnsi="Wingdings" w:hint="default"/>
      </w:rPr>
    </w:lvl>
    <w:lvl w:ilvl="7" w:tplc="04090003" w:tentative="1">
      <w:start w:val="1"/>
      <w:numFmt w:val="bullet"/>
      <w:lvlText w:val=""/>
      <w:lvlJc w:val="left"/>
      <w:pPr>
        <w:ind w:left="4832" w:hanging="480"/>
      </w:pPr>
      <w:rPr>
        <w:rFonts w:ascii="Wingdings" w:hAnsi="Wingdings" w:hint="default"/>
      </w:rPr>
    </w:lvl>
    <w:lvl w:ilvl="8" w:tplc="04090005" w:tentative="1">
      <w:start w:val="1"/>
      <w:numFmt w:val="bullet"/>
      <w:lvlText w:val=""/>
      <w:lvlJc w:val="left"/>
      <w:pPr>
        <w:ind w:left="5312" w:hanging="480"/>
      </w:pPr>
      <w:rPr>
        <w:rFonts w:ascii="Wingdings" w:hAnsi="Wingdings" w:hint="default"/>
      </w:rPr>
    </w:lvl>
  </w:abstractNum>
  <w:abstractNum w:abstractNumId="9" w15:restartNumberingAfterBreak="0">
    <w:nsid w:val="6B2F4140"/>
    <w:multiLevelType w:val="multilevel"/>
    <w:tmpl w:val="E9A400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6"/>
  </w:num>
  <w:num w:numId="3">
    <w:abstractNumId w:val="8"/>
  </w:num>
  <w:num w:numId="4">
    <w:abstractNumId w:val="4"/>
  </w:num>
  <w:num w:numId="5">
    <w:abstractNumId w:val="1"/>
  </w:num>
  <w:num w:numId="6">
    <w:abstractNumId w:val="7"/>
    <w:lvlOverride w:ilvl="0">
      <w:startOverride w:val="50"/>
    </w:lvlOverride>
  </w:num>
  <w:num w:numId="7">
    <w:abstractNumId w:val="9"/>
    <w:lvlOverride w:ilvl="0">
      <w:startOverride w:val="50"/>
    </w:lvlOverride>
  </w:num>
  <w:num w:numId="8">
    <w:abstractNumId w:val="3"/>
    <w:lvlOverride w:ilvl="0">
      <w:startOverride w:val="50"/>
    </w:lvlOverride>
  </w:num>
  <w:num w:numId="9">
    <w:abstractNumId w:val="0"/>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7E7C"/>
    <w:rsid w:val="000001ED"/>
    <w:rsid w:val="000123C8"/>
    <w:rsid w:val="000A0C7B"/>
    <w:rsid w:val="000C3765"/>
    <w:rsid w:val="000E23C8"/>
    <w:rsid w:val="000E4E2C"/>
    <w:rsid w:val="001539BA"/>
    <w:rsid w:val="00193662"/>
    <w:rsid w:val="00222EC2"/>
    <w:rsid w:val="00242D52"/>
    <w:rsid w:val="0025599C"/>
    <w:rsid w:val="002F3773"/>
    <w:rsid w:val="00327E7C"/>
    <w:rsid w:val="00336CF7"/>
    <w:rsid w:val="0035246C"/>
    <w:rsid w:val="003774B2"/>
    <w:rsid w:val="00470362"/>
    <w:rsid w:val="0048748A"/>
    <w:rsid w:val="004E5176"/>
    <w:rsid w:val="00524E97"/>
    <w:rsid w:val="005C2C44"/>
    <w:rsid w:val="006246DD"/>
    <w:rsid w:val="006725E3"/>
    <w:rsid w:val="00685685"/>
    <w:rsid w:val="006C3651"/>
    <w:rsid w:val="006F3D2F"/>
    <w:rsid w:val="00776C44"/>
    <w:rsid w:val="007D1A24"/>
    <w:rsid w:val="00821C4D"/>
    <w:rsid w:val="00827BC1"/>
    <w:rsid w:val="00852597"/>
    <w:rsid w:val="008539D8"/>
    <w:rsid w:val="00880054"/>
    <w:rsid w:val="00886601"/>
    <w:rsid w:val="008E7C38"/>
    <w:rsid w:val="008F360F"/>
    <w:rsid w:val="009615C9"/>
    <w:rsid w:val="009917DA"/>
    <w:rsid w:val="009B72B0"/>
    <w:rsid w:val="009F7CBA"/>
    <w:rsid w:val="00A21F4C"/>
    <w:rsid w:val="00A26A59"/>
    <w:rsid w:val="00C25A1C"/>
    <w:rsid w:val="00C44DA4"/>
    <w:rsid w:val="00DB5C43"/>
    <w:rsid w:val="00E3242F"/>
    <w:rsid w:val="00E414B8"/>
    <w:rsid w:val="00E71AA3"/>
    <w:rsid w:val="00EB428D"/>
    <w:rsid w:val="00F556CC"/>
    <w:rsid w:val="00FB279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06A85A"/>
  <w15:chartTrackingRefBased/>
  <w15:docId w15:val="{064CD03D-018E-45E9-9770-A5897D0CA3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semiHidden/>
    <w:unhideWhenUsed/>
    <w:rsid w:val="00327E7C"/>
    <w:pPr>
      <w:widowControl/>
      <w:spacing w:before="100" w:beforeAutospacing="1" w:after="100" w:afterAutospacing="1"/>
    </w:pPr>
    <w:rPr>
      <w:rFonts w:ascii="新細明體" w:eastAsia="新細明體" w:hAnsi="新細明體" w:cs="新細明體"/>
      <w:kern w:val="0"/>
      <w:szCs w:val="24"/>
    </w:rPr>
  </w:style>
  <w:style w:type="character" w:styleId="a3">
    <w:name w:val="Strong"/>
    <w:basedOn w:val="a0"/>
    <w:uiPriority w:val="22"/>
    <w:qFormat/>
    <w:rsid w:val="00327E7C"/>
    <w:rPr>
      <w:b/>
      <w:bCs/>
    </w:rPr>
  </w:style>
  <w:style w:type="paragraph" w:styleId="a4">
    <w:name w:val="List Paragraph"/>
    <w:basedOn w:val="a"/>
    <w:uiPriority w:val="34"/>
    <w:qFormat/>
    <w:rsid w:val="00821C4D"/>
    <w:pPr>
      <w:ind w:leftChars="200" w:left="480"/>
    </w:pPr>
  </w:style>
  <w:style w:type="paragraph" w:styleId="a5">
    <w:name w:val="header"/>
    <w:basedOn w:val="a"/>
    <w:link w:val="a6"/>
    <w:uiPriority w:val="99"/>
    <w:unhideWhenUsed/>
    <w:rsid w:val="000E23C8"/>
    <w:pPr>
      <w:tabs>
        <w:tab w:val="center" w:pos="4153"/>
        <w:tab w:val="right" w:pos="8306"/>
      </w:tabs>
      <w:snapToGrid w:val="0"/>
    </w:pPr>
    <w:rPr>
      <w:sz w:val="20"/>
      <w:szCs w:val="20"/>
    </w:rPr>
  </w:style>
  <w:style w:type="character" w:customStyle="1" w:styleId="a6">
    <w:name w:val="頁首 字元"/>
    <w:basedOn w:val="a0"/>
    <w:link w:val="a5"/>
    <w:uiPriority w:val="99"/>
    <w:rsid w:val="000E23C8"/>
    <w:rPr>
      <w:sz w:val="20"/>
      <w:szCs w:val="20"/>
    </w:rPr>
  </w:style>
  <w:style w:type="paragraph" w:styleId="a7">
    <w:name w:val="footer"/>
    <w:basedOn w:val="a"/>
    <w:link w:val="a8"/>
    <w:uiPriority w:val="99"/>
    <w:unhideWhenUsed/>
    <w:rsid w:val="000E23C8"/>
    <w:pPr>
      <w:tabs>
        <w:tab w:val="center" w:pos="4153"/>
        <w:tab w:val="right" w:pos="8306"/>
      </w:tabs>
      <w:snapToGrid w:val="0"/>
    </w:pPr>
    <w:rPr>
      <w:sz w:val="20"/>
      <w:szCs w:val="20"/>
    </w:rPr>
  </w:style>
  <w:style w:type="character" w:customStyle="1" w:styleId="a8">
    <w:name w:val="頁尾 字元"/>
    <w:basedOn w:val="a0"/>
    <w:link w:val="a7"/>
    <w:uiPriority w:val="99"/>
    <w:rsid w:val="000E23C8"/>
    <w:rPr>
      <w:sz w:val="20"/>
      <w:szCs w:val="20"/>
    </w:rPr>
  </w:style>
  <w:style w:type="table" w:styleId="a9">
    <w:name w:val="Grid Table Light"/>
    <w:basedOn w:val="a1"/>
    <w:uiPriority w:val="40"/>
    <w:rsid w:val="00E414B8"/>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81236848">
      <w:bodyDiv w:val="1"/>
      <w:marLeft w:val="0"/>
      <w:marRight w:val="0"/>
      <w:marTop w:val="0"/>
      <w:marBottom w:val="0"/>
      <w:divBdr>
        <w:top w:val="none" w:sz="0" w:space="0" w:color="auto"/>
        <w:left w:val="none" w:sz="0" w:space="0" w:color="auto"/>
        <w:bottom w:val="none" w:sz="0" w:space="0" w:color="auto"/>
        <w:right w:val="none" w:sz="0" w:space="0" w:color="auto"/>
      </w:divBdr>
      <w:divsChild>
        <w:div w:id="1410731112">
          <w:marLeft w:val="0"/>
          <w:marRight w:val="0"/>
          <w:marTop w:val="450"/>
          <w:marBottom w:val="45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77</TotalTime>
  <Pages>4</Pages>
  <Words>275</Words>
  <Characters>1569</Characters>
  <Application>Microsoft Office Word</Application>
  <DocSecurity>0</DocSecurity>
  <Lines>13</Lines>
  <Paragraphs>3</Paragraphs>
  <ScaleCrop>false</ScaleCrop>
  <Company/>
  <LinksUpToDate>false</LinksUpToDate>
  <CharactersWithSpaces>1841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Hsu Kuang-Jung</dc:creator>
  <cp:keywords/>
  <dc:description/>
  <cp:lastModifiedBy>doctor</cp:lastModifiedBy>
  <cp:revision>14</cp:revision>
  <dcterms:created xsi:type="dcterms:W3CDTF">2022-08-03T07:52:00Z</dcterms:created>
  <dcterms:modified xsi:type="dcterms:W3CDTF">2022-08-04T03:04:00Z</dcterms:modified>
</cp:coreProperties>
</file>