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13AA0C4" w14:textId="44FB4E01" w:rsidR="000E4E2C" w:rsidRDefault="00880054" w:rsidP="000E4E2C">
      <w:pPr>
        <w:jc w:val="center"/>
        <w:rPr>
          <w:rFonts w:eastAsia="標楷體" w:cs="Times New Roman"/>
          <w:color w:val="3366FF"/>
          <w:sz w:val="96"/>
          <w:szCs w:val="96"/>
        </w:rPr>
      </w:pPr>
      <w:r>
        <w:rPr>
          <w:noProof/>
        </w:rPr>
        <w:drawing>
          <wp:anchor distT="0" distB="0" distL="114300" distR="114300" simplePos="0" relativeHeight="251661312" behindDoc="0" locked="0" layoutInCell="1" allowOverlap="1" wp14:anchorId="7E2A1AEF" wp14:editId="2040AFA9">
            <wp:simplePos x="0" y="0"/>
            <wp:positionH relativeFrom="column">
              <wp:posOffset>36662</wp:posOffset>
            </wp:positionH>
            <wp:positionV relativeFrom="paragraph">
              <wp:posOffset>286828</wp:posOffset>
            </wp:positionV>
            <wp:extent cx="1143000" cy="874395"/>
            <wp:effectExtent l="19050" t="0" r="0" b="0"/>
            <wp:wrapNone/>
            <wp:docPr id="5" name="圖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圖片 8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3000" cy="87439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1363CDF" wp14:editId="1F5DB9D0">
                <wp:simplePos x="0" y="0"/>
                <wp:positionH relativeFrom="margin">
                  <wp:align>right</wp:align>
                </wp:positionH>
                <wp:positionV relativeFrom="paragraph">
                  <wp:posOffset>267131</wp:posOffset>
                </wp:positionV>
                <wp:extent cx="1417320" cy="970280"/>
                <wp:effectExtent l="0" t="0" r="11430" b="20320"/>
                <wp:wrapNone/>
                <wp:docPr id="7" name="文字方塊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17320" cy="970280"/>
                        </a:xfrm>
                        <a:prstGeom prst="rect">
                          <a:avLst/>
                        </a:prstGeom>
                        <a:solidFill>
                          <a:srgbClr val="99CC00"/>
                        </a:solidFill>
                        <a:ln w="9525">
                          <a:solidFill>
                            <a:srgbClr val="99CC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CFD3658" w14:textId="77777777" w:rsidR="000E4E2C" w:rsidRPr="00D973EE" w:rsidRDefault="000E4E2C" w:rsidP="000E4E2C">
                            <w:pPr>
                              <w:rPr>
                                <w:rFonts w:eastAsia="標楷體" w:cs="Times New Roman"/>
                              </w:rPr>
                            </w:pPr>
                            <w:r w:rsidRPr="00D973EE">
                              <w:rPr>
                                <w:rFonts w:eastAsia="標楷體" w:hAnsi="標楷體" w:cs="標楷體" w:hint="eastAsia"/>
                              </w:rPr>
                              <w:t>出版單位：藥劑科</w:t>
                            </w:r>
                          </w:p>
                          <w:p w14:paraId="791AACAD" w14:textId="77777777" w:rsidR="000E4E2C" w:rsidRPr="00D973EE" w:rsidRDefault="000E4E2C" w:rsidP="000E4E2C">
                            <w:pPr>
                              <w:rPr>
                                <w:rFonts w:eastAsia="標楷體" w:cs="Times New Roman"/>
                              </w:rPr>
                            </w:pPr>
                            <w:r w:rsidRPr="00D973EE">
                              <w:rPr>
                                <w:rFonts w:eastAsia="標楷體" w:hAnsi="標楷體" w:cs="標楷體" w:hint="eastAsia"/>
                              </w:rPr>
                              <w:t>聯絡電話：</w:t>
                            </w:r>
                          </w:p>
                          <w:p w14:paraId="0F5F5978" w14:textId="77777777" w:rsidR="000E4E2C" w:rsidRPr="00D973EE" w:rsidRDefault="000E4E2C" w:rsidP="000E4E2C">
                            <w:pPr>
                              <w:rPr>
                                <w:rFonts w:eastAsia="標楷體" w:cs="Times New Roman"/>
                              </w:rPr>
                            </w:pPr>
                            <w:r>
                              <w:rPr>
                                <w:rFonts w:eastAsia="標楷體"/>
                              </w:rPr>
                              <w:t>4629292</w:t>
                            </w:r>
                            <w:r w:rsidRPr="00D973EE">
                              <w:rPr>
                                <w:rFonts w:eastAsia="標楷體"/>
                              </w:rPr>
                              <w:t>-</w:t>
                            </w:r>
                            <w:r>
                              <w:rPr>
                                <w:rFonts w:eastAsia="標楷體"/>
                              </w:rPr>
                              <w:t>22525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11363CDF" id="_x0000_t202" coordsize="21600,21600" o:spt="202" path="m,l,21600r21600,l21600,xe">
                <v:stroke joinstyle="miter"/>
                <v:path gradientshapeok="t" o:connecttype="rect"/>
              </v:shapetype>
              <v:shape id="文字方塊 9" o:spid="_x0000_s1026" type="#_x0000_t202" style="position:absolute;left:0;text-align:left;margin-left:60.4pt;margin-top:21.05pt;width:111.6pt;height:76.4pt;z-index:251659264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" fillcolor="#9c0" strokecolor="#9c0">
                <v:textbox>
                  <w:txbxContent>
                    <w:p w14:paraId="5CFD3658" w14:textId="77777777" w:rsidR="000E4E2C" w:rsidRPr="00D973EE" w:rsidRDefault="000E4E2C" w:rsidP="000E4E2C">
                      <w:pPr>
                        <w:rPr>
                          <w:rFonts w:eastAsia="標楷體" w:cs="Times New Roman"/>
                        </w:rPr>
                      </w:pPr>
                      <w:r w:rsidRPr="00D973EE">
                        <w:rPr>
                          <w:rFonts w:eastAsia="標楷體" w:hAnsi="標楷體" w:cs="標楷體" w:hint="eastAsia"/>
                        </w:rPr>
                        <w:t>出版單位：藥劑科</w:t>
                      </w:r>
                    </w:p>
                    <w:p w14:paraId="791AACAD" w14:textId="77777777" w:rsidR="000E4E2C" w:rsidRPr="00D973EE" w:rsidRDefault="000E4E2C" w:rsidP="000E4E2C">
                      <w:pPr>
                        <w:rPr>
                          <w:rFonts w:eastAsia="標楷體" w:cs="Times New Roman"/>
                        </w:rPr>
                      </w:pPr>
                      <w:r w:rsidRPr="00D973EE">
                        <w:rPr>
                          <w:rFonts w:eastAsia="標楷體" w:hAnsi="標楷體" w:cs="標楷體" w:hint="eastAsia"/>
                        </w:rPr>
                        <w:t>聯絡電話：</w:t>
                      </w:r>
                    </w:p>
                    <w:p w14:paraId="0F5F5978" w14:textId="77777777" w:rsidR="000E4E2C" w:rsidRPr="00D973EE" w:rsidRDefault="000E4E2C" w:rsidP="000E4E2C">
                      <w:pPr>
                        <w:rPr>
                          <w:rFonts w:eastAsia="標楷體" w:cs="Times New Roman"/>
                        </w:rPr>
                      </w:pPr>
                      <w:r>
                        <w:rPr>
                          <w:rFonts w:eastAsia="標楷體"/>
                        </w:rPr>
                        <w:t>4629292</w:t>
                      </w:r>
                      <w:r w:rsidRPr="00D973EE">
                        <w:rPr>
                          <w:rFonts w:eastAsia="標楷體"/>
                        </w:rPr>
                        <w:t>-</w:t>
                      </w:r>
                      <w:r>
                        <w:rPr>
                          <w:rFonts w:eastAsia="標楷體"/>
                        </w:rPr>
                        <w:t>22525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2336" behindDoc="1" locked="0" layoutInCell="1" allowOverlap="1" wp14:anchorId="42B77065" wp14:editId="1BDDDCAF">
                <wp:simplePos x="0" y="0"/>
                <wp:positionH relativeFrom="margin">
                  <wp:align>left</wp:align>
                </wp:positionH>
                <wp:positionV relativeFrom="paragraph">
                  <wp:posOffset>250166</wp:posOffset>
                </wp:positionV>
                <wp:extent cx="5257800" cy="1371600"/>
                <wp:effectExtent l="0" t="0" r="0" b="0"/>
                <wp:wrapNone/>
                <wp:docPr id="4" name="矩形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257800" cy="1371600"/>
                        </a:xfrm>
                        <a:prstGeom prst="rect">
                          <a:avLst/>
                        </a:prstGeom>
                        <a:solidFill>
                          <a:srgbClr val="FFFF99">
                            <a:alpha val="50195"/>
                          </a:srgbClr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A414E65" id="矩形 7" o:spid="_x0000_s1026" style="position:absolute;margin-left:0;margin-top:19.7pt;width:414pt;height:108pt;z-index:-251654144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" fillcolor="#ff9" stroked="f">
                <v:fill opacity="32896f"/>
                <w10:wrap anchorx="margin"/>
              </v:rect>
            </w:pict>
          </mc:Fallback>
        </mc:AlternateContent>
      </w:r>
      <w:r w:rsidR="000E4E2C"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8070E9F" wp14:editId="77EC5E5E">
                <wp:simplePos x="0" y="0"/>
                <wp:positionH relativeFrom="column">
                  <wp:posOffset>1363345</wp:posOffset>
                </wp:positionH>
                <wp:positionV relativeFrom="paragraph">
                  <wp:posOffset>800100</wp:posOffset>
                </wp:positionV>
                <wp:extent cx="2857500" cy="571500"/>
                <wp:effectExtent l="0" t="0" r="0" b="0"/>
                <wp:wrapNone/>
                <wp:docPr id="6" name="文字方塊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857500" cy="5715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0CC77B1" w14:textId="77777777" w:rsidR="000E4E2C" w:rsidRPr="007B33FB" w:rsidRDefault="000E4E2C" w:rsidP="000E4E2C">
                            <w:pPr>
                              <w:spacing w:line="320" w:lineRule="exact"/>
                              <w:rPr>
                                <w:rFonts w:eastAsia="標楷體"/>
                                <w:sz w:val="36"/>
                                <w:szCs w:val="36"/>
                              </w:rPr>
                            </w:pPr>
                            <w:r w:rsidRPr="007B33FB">
                              <w:rPr>
                                <w:rFonts w:eastAsia="標楷體"/>
                                <w:sz w:val="36"/>
                                <w:szCs w:val="36"/>
                              </w:rPr>
                              <w:t>Ten-Chan Medical group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8070E9F" id="文字方塊 10" o:spid="_x0000_s1027" type="#_x0000_t202" style="position:absolute;left:0;text-align:left;margin-left:107.35pt;margin-top:63pt;width:225pt;height:4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" filled="f" stroked="f">
                <v:textbox>
                  <w:txbxContent>
                    <w:p w14:paraId="60CC77B1" w14:textId="77777777" w:rsidR="000E4E2C" w:rsidRPr="007B33FB" w:rsidRDefault="000E4E2C" w:rsidP="000E4E2C">
                      <w:pPr>
                        <w:spacing w:line="320" w:lineRule="exact"/>
                        <w:rPr>
                          <w:rFonts w:eastAsia="標楷體"/>
                          <w:sz w:val="36"/>
                          <w:szCs w:val="36"/>
                        </w:rPr>
                      </w:pPr>
                      <w:r w:rsidRPr="007B33FB">
                        <w:rPr>
                          <w:rFonts w:eastAsia="標楷體"/>
                          <w:sz w:val="36"/>
                          <w:szCs w:val="36"/>
                        </w:rPr>
                        <w:t>Ten-Chan Medical group</w:t>
                      </w:r>
                    </w:p>
                  </w:txbxContent>
                </v:textbox>
              </v:shape>
            </w:pict>
          </mc:Fallback>
        </mc:AlternateContent>
      </w:r>
      <w:r w:rsidR="000E4E2C">
        <w:rPr>
          <w:rFonts w:eastAsia="標楷體" w:cs="標楷體" w:hint="eastAsia"/>
          <w:color w:val="3366FF"/>
          <w:sz w:val="96"/>
          <w:szCs w:val="96"/>
        </w:rPr>
        <w:t>藥訊</w:t>
      </w:r>
    </w:p>
    <w:p w14:paraId="1719C1E6" w14:textId="77777777" w:rsidR="000E4E2C" w:rsidRDefault="000E4E2C" w:rsidP="00327E7C">
      <w:pPr>
        <w:jc w:val="center"/>
        <w:rPr>
          <w:rFonts w:ascii="標楷體" w:eastAsia="標楷體" w:hAnsi="標楷體"/>
          <w:b/>
          <w:bCs/>
          <w:color w:val="FF0000"/>
        </w:rPr>
      </w:pPr>
    </w:p>
    <w:p w14:paraId="52304B54" w14:textId="447FF720" w:rsidR="000E4E2C" w:rsidRPr="00880054" w:rsidRDefault="00880054" w:rsidP="00880054">
      <w:pPr>
        <w:jc w:val="right"/>
        <w:rPr>
          <w:rFonts w:eastAsia="標楷體"/>
          <w:b/>
          <w:bCs/>
          <w:color w:val="7030A0"/>
          <w:sz w:val="28"/>
          <w:szCs w:val="28"/>
        </w:rPr>
      </w:pPr>
      <w:r>
        <w:rPr>
          <w:rFonts w:ascii="標楷體" w:eastAsia="標楷體" w:hAnsi="標楷體"/>
          <w:b/>
          <w:bCs/>
          <w:color w:val="FF0000"/>
        </w:rPr>
        <w:tab/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4384" behindDoc="1" locked="0" layoutInCell="1" allowOverlap="1" wp14:anchorId="281A471C" wp14:editId="1326CDA6">
                <wp:simplePos x="0" y="0"/>
                <wp:positionH relativeFrom="column">
                  <wp:posOffset>228600</wp:posOffset>
                </wp:positionH>
                <wp:positionV relativeFrom="paragraph">
                  <wp:posOffset>0</wp:posOffset>
                </wp:positionV>
                <wp:extent cx="2971800" cy="457200"/>
                <wp:effectExtent l="0" t="0" r="0" b="0"/>
                <wp:wrapNone/>
                <wp:docPr id="3" name="文字方塊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971800" cy="4572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13CF947" w14:textId="77777777" w:rsidR="00880054" w:rsidRDefault="00880054" w:rsidP="00880054">
                            <w:pPr>
                              <w:rPr>
                                <w:rFonts w:eastAsia="標楷體" w:cs="Times New Roman"/>
                                <w:color w:val="FF0000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eastAsia="標楷體" w:cs="標楷體" w:hint="eastAsia"/>
                                <w:color w:val="FF0000"/>
                                <w:sz w:val="28"/>
                                <w:szCs w:val="28"/>
                              </w:rPr>
                              <w:t>健康、真愛、天成心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81A471C" id="文字方塊 6" o:spid="_x0000_s1028" type="#_x0000_t202" style="position:absolute;left:0;text-align:left;margin-left:18pt;margin-top:0;width:234pt;height:36pt;z-index:-2516520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" filled="f" stroked="f">
                <v:textbox>
                  <w:txbxContent>
                    <w:p w14:paraId="713CF947" w14:textId="77777777" w:rsidR="00880054" w:rsidRDefault="00880054" w:rsidP="00880054">
                      <w:pPr>
                        <w:rPr>
                          <w:rFonts w:eastAsia="標楷體" w:cs="Times New Roman"/>
                          <w:color w:val="FF0000"/>
                          <w:sz w:val="28"/>
                          <w:szCs w:val="28"/>
                        </w:rPr>
                      </w:pPr>
                      <w:r>
                        <w:rPr>
                          <w:rFonts w:eastAsia="標楷體" w:cs="標楷體" w:hint="eastAsia"/>
                          <w:color w:val="FF0000"/>
                          <w:sz w:val="28"/>
                          <w:szCs w:val="28"/>
                        </w:rPr>
                        <w:t>健康、真愛、天成心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eastAsia="標楷體" w:cs="標楷體" w:hint="eastAsia"/>
          <w:color w:val="FF0000"/>
          <w:sz w:val="40"/>
          <w:szCs w:val="40"/>
        </w:rPr>
        <w:t>期別</w:t>
      </w:r>
      <w:r w:rsidRPr="005A5E7E">
        <w:rPr>
          <w:rFonts w:eastAsia="標楷體"/>
          <w:b/>
          <w:bCs/>
          <w:color w:val="7030A0"/>
          <w:sz w:val="28"/>
          <w:szCs w:val="28"/>
        </w:rPr>
        <w:t>No.</w:t>
      </w:r>
      <w:r>
        <w:rPr>
          <w:rFonts w:eastAsia="標楷體" w:hint="eastAsia"/>
          <w:b/>
          <w:bCs/>
          <w:color w:val="7030A0"/>
          <w:sz w:val="28"/>
          <w:szCs w:val="28"/>
        </w:rPr>
        <w:t>1</w:t>
      </w:r>
      <w:r>
        <w:rPr>
          <w:rFonts w:eastAsia="標楷體"/>
          <w:b/>
          <w:bCs/>
          <w:color w:val="7030A0"/>
          <w:sz w:val="28"/>
          <w:szCs w:val="28"/>
        </w:rPr>
        <w:t>110</w:t>
      </w:r>
      <w:r w:rsidR="008539D8">
        <w:rPr>
          <w:rFonts w:eastAsia="標楷體" w:hint="eastAsia"/>
          <w:b/>
          <w:bCs/>
          <w:color w:val="7030A0"/>
          <w:sz w:val="28"/>
          <w:szCs w:val="28"/>
        </w:rPr>
        <w:t>7</w:t>
      </w:r>
      <w:bookmarkStart w:id="0" w:name="_GoBack"/>
      <w:bookmarkEnd w:id="0"/>
    </w:p>
    <w:p w14:paraId="7DC19381" w14:textId="77777777" w:rsidR="00880054" w:rsidRDefault="00880054" w:rsidP="00327E7C">
      <w:pPr>
        <w:jc w:val="center"/>
        <w:rPr>
          <w:rFonts w:ascii="標楷體" w:eastAsia="標楷體" w:hAnsi="標楷體"/>
          <w:b/>
          <w:bCs/>
          <w:color w:val="FF0000"/>
        </w:rPr>
      </w:pPr>
    </w:p>
    <w:p w14:paraId="10A60655" w14:textId="77777777" w:rsidR="00827BC1" w:rsidRPr="00827BC1" w:rsidRDefault="00827BC1" w:rsidP="00827BC1">
      <w:pPr>
        <w:jc w:val="center"/>
        <w:rPr>
          <w:rFonts w:ascii="Times New Roman" w:eastAsia="標楷體" w:hAnsi="Times New Roman" w:cs="Times New Roman"/>
          <w:color w:val="FF0000"/>
          <w:sz w:val="36"/>
          <w:szCs w:val="36"/>
          <w:shd w:val="clear" w:color="auto" w:fill="FFFFFF"/>
        </w:rPr>
      </w:pPr>
      <w:r w:rsidRPr="00827BC1">
        <w:rPr>
          <w:rFonts w:ascii="Times New Roman" w:eastAsia="標楷體" w:hAnsi="Times New Roman" w:cs="Times New Roman"/>
          <w:color w:val="FF0000"/>
          <w:sz w:val="36"/>
          <w:szCs w:val="36"/>
          <w:shd w:val="clear" w:color="auto" w:fill="FFFFFF"/>
        </w:rPr>
        <w:t>Semaglutide (Rybelsus)</w:t>
      </w:r>
    </w:p>
    <w:p w14:paraId="3B2B222C" w14:textId="4C4D9C55" w:rsidR="00327E7C" w:rsidRPr="00827BC1" w:rsidRDefault="00827BC1" w:rsidP="00827BC1">
      <w:pPr>
        <w:jc w:val="center"/>
        <w:rPr>
          <w:rFonts w:ascii="標楷體" w:eastAsia="標楷體" w:hAnsi="標楷體"/>
        </w:rPr>
      </w:pPr>
      <w:r w:rsidRPr="00827BC1">
        <w:rPr>
          <w:rFonts w:ascii="標楷體" w:eastAsia="標楷體" w:hAnsi="標楷體" w:hint="eastAsia"/>
        </w:rPr>
        <w:t>董晏豪</w:t>
      </w:r>
      <w:r w:rsidR="00327E7C" w:rsidRPr="00827BC1">
        <w:rPr>
          <w:rFonts w:ascii="標楷體" w:eastAsia="標楷體" w:hAnsi="標楷體" w:hint="eastAsia"/>
          <w:sz w:val="28"/>
          <w:szCs w:val="28"/>
        </w:rPr>
        <w:t>藥師</w:t>
      </w:r>
    </w:p>
    <w:p w14:paraId="70FE9281" w14:textId="57955127" w:rsidR="00E414B8" w:rsidRPr="00827BC1" w:rsidRDefault="00827BC1" w:rsidP="00E414B8">
      <w:pPr>
        <w:pStyle w:val="a4"/>
        <w:numPr>
          <w:ilvl w:val="0"/>
          <w:numId w:val="9"/>
        </w:numPr>
        <w:ind w:leftChars="0"/>
        <w:rPr>
          <w:rFonts w:ascii="標楷體" w:eastAsia="標楷體" w:hAnsi="標楷體"/>
          <w:color w:val="333333"/>
          <w:shd w:val="clear" w:color="auto" w:fill="FFFFFF"/>
        </w:rPr>
      </w:pPr>
      <w:r w:rsidRPr="00827BC1">
        <w:rPr>
          <w:rFonts w:ascii="標楷體" w:eastAsia="標楷體" w:hAnsi="標楷體"/>
          <w:color w:val="FF0000"/>
        </w:rPr>
        <w:t>治療適應症</w:t>
      </w:r>
      <w:r w:rsidR="00C44DA4" w:rsidRPr="00827BC1">
        <w:rPr>
          <w:rFonts w:ascii="標楷體" w:eastAsia="標楷體" w:hAnsi="標楷體" w:hint="eastAsia"/>
          <w:color w:val="333333"/>
          <w:shd w:val="clear" w:color="auto" w:fill="FFFFFF"/>
        </w:rPr>
        <w:t xml:space="preserve">    </w:t>
      </w:r>
    </w:p>
    <w:p w14:paraId="75BBE3CB" w14:textId="76B19384" w:rsidR="00E414B8" w:rsidRPr="00827BC1" w:rsidRDefault="00827BC1" w:rsidP="00E414B8">
      <w:pPr>
        <w:pStyle w:val="a4"/>
        <w:ind w:leftChars="0" w:left="510"/>
        <w:rPr>
          <w:rFonts w:ascii="標楷體" w:eastAsia="標楷體" w:hAnsi="標楷體" w:cs="Arial"/>
          <w:color w:val="333333"/>
          <w:szCs w:val="24"/>
          <w:shd w:val="clear" w:color="auto" w:fill="FFFFFF"/>
        </w:rPr>
      </w:pPr>
      <w:r w:rsidRPr="00827BC1">
        <w:rPr>
          <w:rFonts w:ascii="標楷體" w:eastAsia="標楷體" w:hAnsi="標楷體"/>
        </w:rPr>
        <w:t>搭配飲食及運動療法，用於治療血糖控制不良的第二型糖尿病成人病人，以改善血糖控制，若病人因耐受不良或有禁忌症而不適合使用 metformin，可做為單一療法，與其他糖尿病藥物合併使用。</w:t>
      </w:r>
    </w:p>
    <w:p w14:paraId="7A9E006F" w14:textId="77777777" w:rsidR="00827BC1" w:rsidRPr="00827BC1" w:rsidRDefault="00827BC1" w:rsidP="00827BC1">
      <w:pPr>
        <w:pStyle w:val="a4"/>
        <w:numPr>
          <w:ilvl w:val="0"/>
          <w:numId w:val="9"/>
        </w:numPr>
        <w:ind w:leftChars="0"/>
        <w:rPr>
          <w:rFonts w:ascii="標楷體" w:eastAsia="標楷體" w:hAnsi="標楷體" w:cs="Arial"/>
          <w:color w:val="FF0000"/>
          <w:szCs w:val="24"/>
          <w:shd w:val="clear" w:color="auto" w:fill="FFFFFF"/>
        </w:rPr>
      </w:pPr>
      <w:r w:rsidRPr="00827BC1">
        <w:rPr>
          <w:rFonts w:ascii="標楷體" w:eastAsia="標楷體" w:hAnsi="標楷體"/>
          <w:color w:val="FF0000"/>
        </w:rPr>
        <w:t>用法用量</w:t>
      </w:r>
    </w:p>
    <w:p w14:paraId="77A0665A" w14:textId="37603D6B" w:rsidR="00E414B8" w:rsidRPr="00827BC1" w:rsidRDefault="00827BC1" w:rsidP="00827BC1">
      <w:pPr>
        <w:pStyle w:val="a4"/>
        <w:ind w:leftChars="0" w:left="510"/>
        <w:rPr>
          <w:rFonts w:ascii="標楷體" w:eastAsia="標楷體" w:hAnsi="標楷體"/>
        </w:rPr>
      </w:pPr>
      <w:r w:rsidRPr="00827BC1">
        <w:rPr>
          <w:rFonts w:ascii="標楷體" w:eastAsia="標楷體" w:hAnsi="標楷體" w:hint="eastAsia"/>
        </w:rPr>
        <w:t xml:space="preserve">    </w:t>
      </w:r>
      <w:r w:rsidRPr="00827BC1">
        <w:rPr>
          <w:rFonts w:ascii="標楷體" w:eastAsia="標楷體" w:hAnsi="標楷體"/>
        </w:rPr>
        <w:t>Semaglutide 起始劑量為每日 3 mg，持續一個月。一個月後，應將劑量增加到每日一次 7 mg 的維持劑量。 維持每日一次 7 mg 至少一個月後，如需進一步改善血糖控制，可增加至每日一次 14 mg 的維持劑量。 semaglutide 每日一次的最大建議劑量為 14 mg。服用兩顆 7 mg 的錠劑以達到 14 mg 的效果尚未經過研究， 因此不建議此服用方式。 關於 semaglutide 口服和皮下注射的轉換。 Semaglutide 併用 metformin 及/或鈉-葡萄糖共同轉運蛋白 2 抑制劑 (SGLT2i) 或 thiazolidinediones 時，metformin 及/或 SGLT2i 或 thiazolidinedione 可維持目前的劑量。 Semaglutide 併用磺醯脲類藥物或胰島素時，可考慮調降磺醯脲類藥物或胰島素的劑量，以減少低血糖風險。 semaglutide 的劑量調整不需要進行血糖自我監測，磺醯脲類藥物和胰島素的劑量調整，則需要血糖自我監 測，尤其是一開始使用 semaglutide 並降低胰島素劑量時，建議胰島素應採取逐步減少的方式。錯過劑量如果漏掉一劑，則應跳過，第二天再服用下一劑。</w:t>
      </w:r>
    </w:p>
    <w:p w14:paraId="0B98C688" w14:textId="77777777" w:rsidR="00827BC1" w:rsidRPr="00827BC1" w:rsidRDefault="00827BC1" w:rsidP="00827BC1">
      <w:pPr>
        <w:pStyle w:val="a4"/>
        <w:ind w:leftChars="0" w:left="510"/>
        <w:rPr>
          <w:rFonts w:ascii="標楷體" w:eastAsia="標楷體" w:hAnsi="標楷體"/>
        </w:rPr>
      </w:pPr>
    </w:p>
    <w:p w14:paraId="647C7B19" w14:textId="511D317D" w:rsidR="00827BC1" w:rsidRPr="00827BC1" w:rsidRDefault="00827BC1" w:rsidP="00827BC1">
      <w:pPr>
        <w:pStyle w:val="a4"/>
        <w:ind w:leftChars="0" w:left="510"/>
        <w:rPr>
          <w:rFonts w:ascii="標楷體" w:eastAsia="標楷體" w:hAnsi="標楷體" w:cs="Arial" w:hint="eastAsia"/>
          <w:color w:val="FF0000"/>
          <w:szCs w:val="24"/>
          <w:shd w:val="clear" w:color="auto" w:fill="FFFFFF"/>
        </w:rPr>
      </w:pPr>
      <w:r w:rsidRPr="00827BC1">
        <w:rPr>
          <w:rFonts w:ascii="標楷體" w:eastAsia="標楷體" w:hAnsi="標楷體"/>
        </w:rPr>
        <w:t>投與投與途徑 瑞倍適為一錠劑形式，每日一次供口服使用。本藥品應空腹服用，可在一天中任何時間服藥。應搭配少量的水 (最多半杯，相當於 120 毫升) 整顆吞服。錠劑不應剝開、壓碎或咀嚼，因為尚不清楚是 否會影響 semaglutide 的吸收。</w:t>
      </w:r>
      <w:r w:rsidRPr="00827BC1">
        <w:rPr>
          <w:rFonts w:ascii="標楷體" w:eastAsia="標楷體" w:hAnsi="標楷體"/>
        </w:rPr>
        <w:t xml:space="preserve"> </w:t>
      </w:r>
      <w:r w:rsidRPr="00827BC1">
        <w:rPr>
          <w:rFonts w:ascii="標楷體" w:eastAsia="標楷體" w:hAnsi="標楷體"/>
        </w:rPr>
        <w:t>病人服藥後應等待至少 30 分鐘再進食、喝水或服用其他口服藥物。等待時間少於 30 分鐘會降低 semaglutide 的吸收</w:t>
      </w:r>
    </w:p>
    <w:p w14:paraId="0D0670BB" w14:textId="00773106" w:rsidR="00C44DA4" w:rsidRPr="00827BC1" w:rsidRDefault="00C44DA4" w:rsidP="00E414B8">
      <w:pPr>
        <w:widowControl/>
        <w:shd w:val="clear" w:color="auto" w:fill="FFFFFF"/>
        <w:spacing w:before="100" w:beforeAutospacing="1" w:after="100" w:afterAutospacing="1" w:line="375" w:lineRule="atLeast"/>
        <w:rPr>
          <w:rFonts w:ascii="標楷體" w:eastAsia="標楷體" w:hAnsi="標楷體" w:cs="新細明體"/>
          <w:color w:val="333333"/>
          <w:kern w:val="0"/>
          <w:szCs w:val="24"/>
        </w:rPr>
      </w:pPr>
    </w:p>
    <w:p w14:paraId="4442E5C6" w14:textId="1F701B0F" w:rsidR="00827BC1" w:rsidRPr="00827BC1" w:rsidRDefault="00827BC1" w:rsidP="00827BC1">
      <w:pPr>
        <w:pStyle w:val="a4"/>
        <w:widowControl/>
        <w:numPr>
          <w:ilvl w:val="0"/>
          <w:numId w:val="9"/>
        </w:numPr>
        <w:shd w:val="clear" w:color="auto" w:fill="FFFFFF"/>
        <w:spacing w:after="150" w:line="375" w:lineRule="atLeast"/>
        <w:ind w:leftChars="0"/>
        <w:rPr>
          <w:rFonts w:ascii="標楷體" w:eastAsia="標楷體" w:hAnsi="標楷體" w:cs="Arial"/>
          <w:color w:val="FF0000"/>
          <w:szCs w:val="24"/>
        </w:rPr>
      </w:pPr>
      <w:r w:rsidRPr="00827BC1">
        <w:rPr>
          <w:rFonts w:ascii="標楷體" w:eastAsia="標楷體" w:hAnsi="標楷體"/>
          <w:color w:val="FF0000"/>
        </w:rPr>
        <w:t>作用機轉</w:t>
      </w:r>
    </w:p>
    <w:p w14:paraId="56D96102" w14:textId="65BEF89E" w:rsidR="00C44DA4" w:rsidRPr="00827BC1" w:rsidRDefault="00827BC1" w:rsidP="00827BC1">
      <w:pPr>
        <w:pStyle w:val="a4"/>
        <w:widowControl/>
        <w:shd w:val="clear" w:color="auto" w:fill="FFFFFF"/>
        <w:spacing w:after="150" w:line="375" w:lineRule="atLeast"/>
        <w:ind w:leftChars="0" w:left="510"/>
        <w:rPr>
          <w:rFonts w:ascii="標楷體" w:eastAsia="標楷體" w:hAnsi="標楷體" w:cs="新細明體"/>
          <w:color w:val="333333"/>
          <w:kern w:val="0"/>
          <w:szCs w:val="24"/>
        </w:rPr>
      </w:pPr>
      <w:r w:rsidRPr="00827BC1">
        <w:rPr>
          <w:rFonts w:ascii="標楷體" w:eastAsia="標楷體" w:hAnsi="標楷體" w:hint="eastAsia"/>
        </w:rPr>
        <w:lastRenderedPageBreak/>
        <w:t xml:space="preserve">    </w:t>
      </w:r>
      <w:r w:rsidRPr="00827BC1">
        <w:rPr>
          <w:rFonts w:ascii="標楷體" w:eastAsia="標楷體" w:hAnsi="標楷體"/>
        </w:rPr>
        <w:t>Semaglutide 是一種 GLP-1 類似物，與人類 GLP-1 有 94% 的序列相似度。semaglutide 的作用類似 GLP-1 受體促效劑，可選擇性結合 GLP-1 受體並將其活化，與原生性 GLP-1 的目標一致。 GLP-1 是一種生理激素，對葡萄糖和食慾調節及心血管系統具有多種作用。葡萄糖及食慾的作用特別經由胰臟 及腦部的 GLP-1 受體達成。 Semaglutide 降低血糖的方式取決於葡萄糖濃度，體內血糖濃度高時，會刺激胰島素分泌並降低升糖素分泌。 降低血糖的作用機轉也包括在餐後初期小幅延遲胃排空。低血糖時，semaglutide 會降低胰島素分泌，但不影 響升糖素分泌。semaglutide 的機轉與給藥途徑無關。 Semaglutide 透過降低整體食慾，促成熱量攝取減少，進而減輕體重及降低體脂。此外，semaglutide 可降低 對高脂食物的偏好。 GLP-1 受體也表現於心臟、血管組織、免疫系統、腎臟等部位。semaglutide 在臨床試驗中對血漿脂質有益， 降低收縮壓及減少發炎反應。動物試驗中，semaglutide 可透過防止主動脈斑塊惡化及減少斑塊內炎症反應， 而減緩動脈粥狀硬化的形成。</w:t>
      </w:r>
    </w:p>
    <w:p w14:paraId="6E5AD53B" w14:textId="77777777" w:rsidR="00827BC1" w:rsidRPr="00827BC1" w:rsidRDefault="00524E97" w:rsidP="00E414B8">
      <w:pPr>
        <w:rPr>
          <w:rFonts w:ascii="標楷體" w:eastAsia="標楷體" w:hAnsi="標楷體"/>
        </w:rPr>
      </w:pPr>
      <w:r w:rsidRPr="00827BC1">
        <w:rPr>
          <w:rFonts w:ascii="標楷體" w:eastAsia="標楷體" w:hAnsi="標楷體"/>
          <w:szCs w:val="24"/>
        </w:rPr>
        <w:br/>
      </w:r>
      <w:r w:rsidR="00E414B8" w:rsidRPr="00827BC1">
        <w:rPr>
          <w:rFonts w:ascii="標楷體" w:eastAsia="標楷體" w:hAnsi="標楷體" w:cs="Arial"/>
          <w:b/>
          <w:color w:val="FF0000"/>
          <w:szCs w:val="24"/>
        </w:rPr>
        <w:t>四</w:t>
      </w:r>
      <w:r w:rsidR="00E414B8" w:rsidRPr="00827BC1">
        <w:rPr>
          <w:rStyle w:val="a3"/>
          <w:rFonts w:ascii="標楷體" w:eastAsia="標楷體" w:hAnsi="標楷體" w:cs="Arial"/>
          <w:color w:val="FF0000"/>
          <w:szCs w:val="24"/>
          <w:shd w:val="clear" w:color="auto" w:fill="FFFFFF"/>
        </w:rPr>
        <w:t>、</w:t>
      </w:r>
      <w:r w:rsidR="00827BC1" w:rsidRPr="00827BC1">
        <w:rPr>
          <w:rFonts w:ascii="標楷體" w:eastAsia="標楷體" w:hAnsi="標楷體"/>
          <w:color w:val="FF0000"/>
        </w:rPr>
        <w:t>藥物動力學特性</w:t>
      </w:r>
    </w:p>
    <w:p w14:paraId="1195FC80" w14:textId="1F54DB2A" w:rsidR="00E414B8" w:rsidRPr="00E414B8" w:rsidRDefault="00827BC1" w:rsidP="00827BC1">
      <w:pPr>
        <w:rPr>
          <w:rFonts w:ascii="標楷體" w:eastAsia="標楷體" w:hAnsi="標楷體" w:cs="Arial"/>
          <w:color w:val="333333"/>
          <w:szCs w:val="24"/>
          <w:shd w:val="clear" w:color="auto" w:fill="FFFFFF"/>
        </w:rPr>
      </w:pPr>
      <w:r w:rsidRPr="00827BC1">
        <w:rPr>
          <w:rFonts w:ascii="標楷體" w:eastAsia="標楷體" w:hAnsi="標楷體" w:hint="eastAsia"/>
        </w:rPr>
        <w:t xml:space="preserve">    </w:t>
      </w:r>
      <w:r w:rsidRPr="00827BC1">
        <w:rPr>
          <w:rFonts w:ascii="標楷體" w:eastAsia="標楷體" w:hAnsi="標楷體"/>
        </w:rPr>
        <w:t>吸收 口服 semaglutide 的絕對生體可用率低，吸收率不固定。根據建議的劑量每日使用，由於半衰期長，可減少 每日暴露量的波動。 針對健康受試者和第二型糖尿病病人使用 semaglutide，藥物動力學特性已有大量的分析研究。口服 semaglutide 後 1 小時可達到最大血漿濃度，每日一次投與，4-5 週後可達到穩定狀態。第二型糖尿病病人 使用 semaglutide 7 mg 和 14 mg 的平均穩定狀態濃度分別約為 6.7 nmol/L 和 14.6 nmol/L；其中， 有 90%的 semaglutide 7 mg 組受試者，其平均濃度介於 1.7 和 22.7 nmol/L 之間，有 90%的 semaglutide 14 mg 組受試者，其平均濃度介於 3.7 和 41.3 nmol/L 之間。semaglutide 的全身暴露量隨劑量而等比增加。 根據體外數據，salcaprozate sodium 可促進 semaglutide 的吸收。semaglutide 的吸收主要發生在胃中。 以口服投與後，semaglutide 的預估生體可用率約為 1%。吸收的個體間變異性很大 (變異係數約為 100%)。 生體可用率的個體內變異性預估並不可靠。 如果搭配食物或大量的水服用，會降低 semaglutide 的吸收。給藥後空腹時間越長，吸收率越高。 分佈 第二型糖尿病病人的預估分佈體積約為 8L。semaglutide 會與血漿蛋白廣泛結合 (&gt;99%)。 危險比 (95% CI) 主要評估指標－MACE FAS MACE 組成項目 心血管疾病死亡 非致死性中風 非致死性心肌梗塞 其他次要評估指標 所有原因死亡 Rybelsus 較佳 Rybelsus N (%) 安慰劑 N (%) 安慰劑較佳 20 代謝/生物轉換 Semaglutide 透過蛋白質水解切割胜肽骨架，及後續的脂肪酸旁鏈之 β - 氧化而被代謝。一般認為，中性胜 肽內切酶 (NEP) 參與 semaglutide 的代謝。 排除 Semaglutide 的試驗發現，semaglutide 相關物質主要由尿液及糞便排出， 約 3% 的吸收劑量以 semaglutide 原型經由尿液排出。</w:t>
      </w:r>
      <w:r w:rsidR="00524E97" w:rsidRPr="00827BC1">
        <w:rPr>
          <w:rFonts w:ascii="標楷體" w:eastAsia="標楷體" w:hAnsi="標楷體"/>
          <w:szCs w:val="24"/>
        </w:rPr>
        <w:br/>
      </w:r>
    </w:p>
    <w:p w14:paraId="4521513B" w14:textId="5A0F2923" w:rsidR="00327E7C" w:rsidRPr="00E414B8" w:rsidRDefault="00827BC1">
      <w:pPr>
        <w:rPr>
          <w:rFonts w:ascii="標楷體" w:eastAsia="標楷體" w:hAnsi="標楷體"/>
          <w:szCs w:val="24"/>
        </w:rPr>
      </w:pPr>
      <w:r>
        <w:rPr>
          <w:rStyle w:val="a3"/>
          <w:rFonts w:ascii="標楷體" w:eastAsia="標楷體" w:hAnsi="標楷體" w:cs="Arial" w:hint="eastAsia"/>
          <w:color w:val="FF0000"/>
          <w:szCs w:val="24"/>
          <w:shd w:val="clear" w:color="auto" w:fill="FFFFFF"/>
        </w:rPr>
        <w:t>五</w:t>
      </w:r>
      <w:r w:rsidR="00E414B8" w:rsidRPr="00E414B8">
        <w:rPr>
          <w:rStyle w:val="a3"/>
          <w:rFonts w:ascii="標楷體" w:eastAsia="標楷體" w:hAnsi="標楷體" w:cs="Arial"/>
          <w:color w:val="FF0000"/>
          <w:szCs w:val="24"/>
          <w:shd w:val="clear" w:color="auto" w:fill="FFFFFF"/>
        </w:rPr>
        <w:t>、資料來源</w:t>
      </w:r>
      <w:r w:rsidR="00E414B8" w:rsidRPr="00E414B8">
        <w:rPr>
          <w:rFonts w:ascii="標楷體" w:eastAsia="標楷體" w:hAnsi="標楷體" w:cs="Arial"/>
          <w:color w:val="FF0000"/>
          <w:szCs w:val="24"/>
        </w:rPr>
        <w:br/>
      </w:r>
      <w:r>
        <w:rPr>
          <w:rFonts w:ascii="標楷體" w:eastAsia="標楷體" w:hAnsi="標楷體" w:cs="Arial" w:hint="eastAsia"/>
          <w:color w:val="333333"/>
          <w:sz w:val="20"/>
          <w:szCs w:val="20"/>
          <w:shd w:val="clear" w:color="auto" w:fill="FFFFFF"/>
        </w:rPr>
        <w:t>藥品仿單</w:t>
      </w:r>
    </w:p>
    <w:sectPr w:rsidR="00327E7C" w:rsidRPr="00E414B8" w:rsidSect="00886601">
      <w:pgSz w:w="11906" w:h="16838"/>
      <w:pgMar w:top="1440" w:right="991" w:bottom="709" w:left="180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68800C24" w14:textId="77777777" w:rsidR="000A0C7B" w:rsidRDefault="000A0C7B" w:rsidP="000E23C8">
      <w:r>
        <w:separator/>
      </w:r>
    </w:p>
  </w:endnote>
  <w:endnote w:type="continuationSeparator" w:id="0">
    <w:p w14:paraId="33E93736" w14:textId="77777777" w:rsidR="000A0C7B" w:rsidRDefault="000A0C7B" w:rsidP="000E23C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697DD022" w14:textId="77777777" w:rsidR="000A0C7B" w:rsidRDefault="000A0C7B" w:rsidP="000E23C8">
      <w:r>
        <w:separator/>
      </w:r>
    </w:p>
  </w:footnote>
  <w:footnote w:type="continuationSeparator" w:id="0">
    <w:p w14:paraId="019DFAD0" w14:textId="77777777" w:rsidR="000A0C7B" w:rsidRDefault="000A0C7B" w:rsidP="000E23C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3B06B5"/>
    <w:multiLevelType w:val="hybridMultilevel"/>
    <w:tmpl w:val="CB309788"/>
    <w:lvl w:ilvl="0" w:tplc="7B76C186">
      <w:start w:val="1"/>
      <w:numFmt w:val="taiwaneseCountingThousand"/>
      <w:lvlText w:val="%1、"/>
      <w:lvlJc w:val="left"/>
      <w:pPr>
        <w:ind w:left="510" w:hanging="510"/>
      </w:pPr>
      <w:rPr>
        <w:rFonts w:cs="Arial" w:hint="default"/>
        <w:b/>
        <w:color w:val="FF0000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" w15:restartNumberingAfterBreak="0">
    <w:nsid w:val="02036BDF"/>
    <w:multiLevelType w:val="hybridMultilevel"/>
    <w:tmpl w:val="B978BE86"/>
    <w:lvl w:ilvl="0" w:tplc="C98446C2">
      <w:start w:val="1"/>
      <w:numFmt w:val="bullet"/>
      <w:lvlText w:val=""/>
      <w:lvlJc w:val="left"/>
      <w:pPr>
        <w:ind w:left="1330" w:hanging="480"/>
      </w:pPr>
      <w:rPr>
        <w:rFonts w:ascii="Wingdings" w:hAnsi="Wingdings" w:hint="default"/>
        <w:sz w:val="16"/>
        <w:szCs w:val="16"/>
      </w:rPr>
    </w:lvl>
    <w:lvl w:ilvl="1" w:tplc="04090003" w:tentative="1">
      <w:start w:val="1"/>
      <w:numFmt w:val="bullet"/>
      <w:lvlText w:val=""/>
      <w:lvlJc w:val="left"/>
      <w:pPr>
        <w:ind w:left="181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29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77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25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73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21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69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5170" w:hanging="480"/>
      </w:pPr>
      <w:rPr>
        <w:rFonts w:ascii="Wingdings" w:hAnsi="Wingdings" w:hint="default"/>
      </w:rPr>
    </w:lvl>
  </w:abstractNum>
  <w:abstractNum w:abstractNumId="2" w15:restartNumberingAfterBreak="0">
    <w:nsid w:val="271A58FE"/>
    <w:multiLevelType w:val="hybridMultilevel"/>
    <w:tmpl w:val="D5BC3096"/>
    <w:lvl w:ilvl="0" w:tplc="04090015">
      <w:start w:val="1"/>
      <w:numFmt w:val="taiwaneseCountingThousand"/>
      <w:lvlText w:val="%1、"/>
      <w:lvlJc w:val="left"/>
      <w:pPr>
        <w:ind w:left="480" w:hanging="4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" w15:restartNumberingAfterBreak="0">
    <w:nsid w:val="294A403A"/>
    <w:multiLevelType w:val="multilevel"/>
    <w:tmpl w:val="50D0BF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3A6458DD"/>
    <w:multiLevelType w:val="hybridMultilevel"/>
    <w:tmpl w:val="702A9EA6"/>
    <w:lvl w:ilvl="0" w:tplc="D372756A">
      <w:start w:val="1"/>
      <w:numFmt w:val="bullet"/>
      <w:lvlText w:val=""/>
      <w:lvlJc w:val="left"/>
      <w:pPr>
        <w:ind w:left="1330" w:hanging="480"/>
      </w:pPr>
      <w:rPr>
        <w:rFonts w:ascii="Wingdings" w:hAnsi="Wingdings" w:hint="default"/>
        <w:sz w:val="16"/>
        <w:szCs w:val="16"/>
      </w:rPr>
    </w:lvl>
    <w:lvl w:ilvl="1" w:tplc="04090019" w:tentative="1">
      <w:start w:val="1"/>
      <w:numFmt w:val="ideographTraditional"/>
      <w:lvlText w:val="%2、"/>
      <w:lvlJc w:val="left"/>
      <w:pPr>
        <w:ind w:left="1810" w:hanging="480"/>
      </w:pPr>
    </w:lvl>
    <w:lvl w:ilvl="2" w:tplc="0409001B" w:tentative="1">
      <w:start w:val="1"/>
      <w:numFmt w:val="lowerRoman"/>
      <w:lvlText w:val="%3."/>
      <w:lvlJc w:val="right"/>
      <w:pPr>
        <w:ind w:left="2290" w:hanging="480"/>
      </w:pPr>
    </w:lvl>
    <w:lvl w:ilvl="3" w:tplc="0409000F" w:tentative="1">
      <w:start w:val="1"/>
      <w:numFmt w:val="decimal"/>
      <w:lvlText w:val="%4."/>
      <w:lvlJc w:val="left"/>
      <w:pPr>
        <w:ind w:left="277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250" w:hanging="480"/>
      </w:pPr>
    </w:lvl>
    <w:lvl w:ilvl="5" w:tplc="0409001B" w:tentative="1">
      <w:start w:val="1"/>
      <w:numFmt w:val="lowerRoman"/>
      <w:lvlText w:val="%6."/>
      <w:lvlJc w:val="right"/>
      <w:pPr>
        <w:ind w:left="3730" w:hanging="480"/>
      </w:pPr>
    </w:lvl>
    <w:lvl w:ilvl="6" w:tplc="0409000F" w:tentative="1">
      <w:start w:val="1"/>
      <w:numFmt w:val="decimal"/>
      <w:lvlText w:val="%7."/>
      <w:lvlJc w:val="left"/>
      <w:pPr>
        <w:ind w:left="421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690" w:hanging="480"/>
      </w:pPr>
    </w:lvl>
    <w:lvl w:ilvl="8" w:tplc="0409001B" w:tentative="1">
      <w:start w:val="1"/>
      <w:numFmt w:val="lowerRoman"/>
      <w:lvlText w:val="%9."/>
      <w:lvlJc w:val="right"/>
      <w:pPr>
        <w:ind w:left="5170" w:hanging="480"/>
      </w:pPr>
    </w:lvl>
  </w:abstractNum>
  <w:abstractNum w:abstractNumId="5" w15:restartNumberingAfterBreak="0">
    <w:nsid w:val="5A204E70"/>
    <w:multiLevelType w:val="hybridMultilevel"/>
    <w:tmpl w:val="C84A4B0A"/>
    <w:lvl w:ilvl="0" w:tplc="55A05BA0">
      <w:start w:val="1"/>
      <w:numFmt w:val="bullet"/>
      <w:lvlText w:val=""/>
      <w:lvlJc w:val="left"/>
      <w:pPr>
        <w:ind w:left="1472" w:hanging="480"/>
      </w:pPr>
      <w:rPr>
        <w:rFonts w:ascii="Wingdings" w:hAnsi="Wingdings" w:hint="default"/>
        <w:sz w:val="16"/>
        <w:szCs w:val="16"/>
      </w:rPr>
    </w:lvl>
    <w:lvl w:ilvl="1" w:tplc="04090003" w:tentative="1">
      <w:start w:val="1"/>
      <w:numFmt w:val="bullet"/>
      <w:lvlText w:val=""/>
      <w:lvlJc w:val="left"/>
      <w:pPr>
        <w:ind w:left="1952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432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912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392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872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352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832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5312" w:hanging="480"/>
      </w:pPr>
      <w:rPr>
        <w:rFonts w:ascii="Wingdings" w:hAnsi="Wingdings" w:hint="default"/>
      </w:rPr>
    </w:lvl>
  </w:abstractNum>
  <w:abstractNum w:abstractNumId="6" w15:restartNumberingAfterBreak="0">
    <w:nsid w:val="5C8F1313"/>
    <w:multiLevelType w:val="multilevel"/>
    <w:tmpl w:val="EA8CA5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65D02CD0"/>
    <w:multiLevelType w:val="hybridMultilevel"/>
    <w:tmpl w:val="B2CA7D70"/>
    <w:lvl w:ilvl="0" w:tplc="B8A6347E">
      <w:start w:val="1"/>
      <w:numFmt w:val="bullet"/>
      <w:lvlText w:val=""/>
      <w:lvlJc w:val="left"/>
      <w:pPr>
        <w:ind w:left="1472" w:hanging="480"/>
      </w:pPr>
      <w:rPr>
        <w:rFonts w:ascii="Wingdings" w:hAnsi="Wingdings" w:hint="default"/>
        <w:sz w:val="16"/>
        <w:szCs w:val="16"/>
      </w:rPr>
    </w:lvl>
    <w:lvl w:ilvl="1" w:tplc="04090003" w:tentative="1">
      <w:start w:val="1"/>
      <w:numFmt w:val="bullet"/>
      <w:lvlText w:val=""/>
      <w:lvlJc w:val="left"/>
      <w:pPr>
        <w:ind w:left="1952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432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912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392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872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352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832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5312" w:hanging="480"/>
      </w:pPr>
      <w:rPr>
        <w:rFonts w:ascii="Wingdings" w:hAnsi="Wingdings" w:hint="default"/>
      </w:rPr>
    </w:lvl>
  </w:abstractNum>
  <w:abstractNum w:abstractNumId="8" w15:restartNumberingAfterBreak="0">
    <w:nsid w:val="6B2F4140"/>
    <w:multiLevelType w:val="multilevel"/>
    <w:tmpl w:val="E9A400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5"/>
  </w:num>
  <w:num w:numId="3">
    <w:abstractNumId w:val="7"/>
  </w:num>
  <w:num w:numId="4">
    <w:abstractNumId w:val="4"/>
  </w:num>
  <w:num w:numId="5">
    <w:abstractNumId w:val="1"/>
  </w:num>
  <w:num w:numId="6">
    <w:abstractNumId w:val="6"/>
    <w:lvlOverride w:ilvl="0">
      <w:startOverride w:val="50"/>
    </w:lvlOverride>
  </w:num>
  <w:num w:numId="7">
    <w:abstractNumId w:val="8"/>
    <w:lvlOverride w:ilvl="0">
      <w:startOverride w:val="50"/>
    </w:lvlOverride>
  </w:num>
  <w:num w:numId="8">
    <w:abstractNumId w:val="3"/>
    <w:lvlOverride w:ilvl="0">
      <w:startOverride w:val="50"/>
    </w:lvlOverride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bordersDoNotSurroundHeader/>
  <w:bordersDoNotSurroundFooter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27E7C"/>
    <w:rsid w:val="000A0C7B"/>
    <w:rsid w:val="000E23C8"/>
    <w:rsid w:val="000E4E2C"/>
    <w:rsid w:val="00193662"/>
    <w:rsid w:val="00222EC2"/>
    <w:rsid w:val="0025599C"/>
    <w:rsid w:val="002F3773"/>
    <w:rsid w:val="00327E7C"/>
    <w:rsid w:val="00336CF7"/>
    <w:rsid w:val="0035246C"/>
    <w:rsid w:val="003774B2"/>
    <w:rsid w:val="00470362"/>
    <w:rsid w:val="0048748A"/>
    <w:rsid w:val="004E5176"/>
    <w:rsid w:val="00524E97"/>
    <w:rsid w:val="00776C44"/>
    <w:rsid w:val="00821C4D"/>
    <w:rsid w:val="00827BC1"/>
    <w:rsid w:val="00852597"/>
    <w:rsid w:val="008539D8"/>
    <w:rsid w:val="00880054"/>
    <w:rsid w:val="00886601"/>
    <w:rsid w:val="008F360F"/>
    <w:rsid w:val="009615C9"/>
    <w:rsid w:val="009B72B0"/>
    <w:rsid w:val="009F7CBA"/>
    <w:rsid w:val="00A26A59"/>
    <w:rsid w:val="00C44DA4"/>
    <w:rsid w:val="00E414B8"/>
    <w:rsid w:val="00E71AA3"/>
    <w:rsid w:val="00FB27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106A85A"/>
  <w15:chartTrackingRefBased/>
  <w15:docId w15:val="{064CD03D-018E-45E9-9770-A5897D0CA3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Web">
    <w:name w:val="Normal (Web)"/>
    <w:basedOn w:val="a"/>
    <w:uiPriority w:val="99"/>
    <w:semiHidden/>
    <w:unhideWhenUsed/>
    <w:rsid w:val="00327E7C"/>
    <w:pPr>
      <w:widowControl/>
      <w:spacing w:before="100" w:beforeAutospacing="1" w:after="100" w:afterAutospacing="1"/>
    </w:pPr>
    <w:rPr>
      <w:rFonts w:ascii="新細明體" w:eastAsia="新細明體" w:hAnsi="新細明體" w:cs="新細明體"/>
      <w:kern w:val="0"/>
      <w:szCs w:val="24"/>
    </w:rPr>
  </w:style>
  <w:style w:type="character" w:styleId="a3">
    <w:name w:val="Strong"/>
    <w:basedOn w:val="a0"/>
    <w:uiPriority w:val="22"/>
    <w:qFormat/>
    <w:rsid w:val="00327E7C"/>
    <w:rPr>
      <w:b/>
      <w:bCs/>
    </w:rPr>
  </w:style>
  <w:style w:type="paragraph" w:styleId="a4">
    <w:name w:val="List Paragraph"/>
    <w:basedOn w:val="a"/>
    <w:uiPriority w:val="34"/>
    <w:qFormat/>
    <w:rsid w:val="00821C4D"/>
    <w:pPr>
      <w:ind w:leftChars="200" w:left="480"/>
    </w:pPr>
  </w:style>
  <w:style w:type="paragraph" w:styleId="a5">
    <w:name w:val="header"/>
    <w:basedOn w:val="a"/>
    <w:link w:val="a6"/>
    <w:uiPriority w:val="99"/>
    <w:unhideWhenUsed/>
    <w:rsid w:val="000E23C8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首 字元"/>
    <w:basedOn w:val="a0"/>
    <w:link w:val="a5"/>
    <w:uiPriority w:val="99"/>
    <w:rsid w:val="000E23C8"/>
    <w:rPr>
      <w:sz w:val="20"/>
      <w:szCs w:val="20"/>
    </w:rPr>
  </w:style>
  <w:style w:type="paragraph" w:styleId="a7">
    <w:name w:val="footer"/>
    <w:basedOn w:val="a"/>
    <w:link w:val="a8"/>
    <w:uiPriority w:val="99"/>
    <w:unhideWhenUsed/>
    <w:rsid w:val="000E23C8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8">
    <w:name w:val="頁尾 字元"/>
    <w:basedOn w:val="a0"/>
    <w:link w:val="a7"/>
    <w:uiPriority w:val="99"/>
    <w:rsid w:val="000E23C8"/>
    <w:rPr>
      <w:sz w:val="20"/>
      <w:szCs w:val="20"/>
    </w:rPr>
  </w:style>
  <w:style w:type="table" w:styleId="a9">
    <w:name w:val="Grid Table Light"/>
    <w:basedOn w:val="a1"/>
    <w:uiPriority w:val="40"/>
    <w:rsid w:val="00E414B8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881236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0731112">
          <w:marLeft w:val="0"/>
          <w:marRight w:val="0"/>
          <w:marTop w:val="450"/>
          <w:marBottom w:val="4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357</Words>
  <Characters>2041</Characters>
  <Application>Microsoft Office Word</Application>
  <DocSecurity>0</DocSecurity>
  <Lines>17</Lines>
  <Paragraphs>4</Paragraphs>
  <ScaleCrop>false</ScaleCrop>
  <Company/>
  <LinksUpToDate>false</LinksUpToDate>
  <CharactersWithSpaces>2394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Hsu Kuang-Jung</dc:creator>
  <cp:keywords/>
  <dc:description/>
  <cp:lastModifiedBy>doctor</cp:lastModifiedBy>
  <cp:revision>3</cp:revision>
  <dcterms:created xsi:type="dcterms:W3CDTF">2022-07-26T00:43:00Z</dcterms:created>
  <dcterms:modified xsi:type="dcterms:W3CDTF">2022-07-26T00:43:00Z</dcterms:modified>
</cp:coreProperties>
</file>