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AA0C4" w14:textId="44FB4E01" w:rsidR="000E4E2C" w:rsidRPr="00422FB7" w:rsidRDefault="00880054" w:rsidP="000E4E2C">
      <w:pPr>
        <w:jc w:val="center"/>
        <w:rPr>
          <w:rFonts w:ascii="標楷體" w:eastAsia="標楷體" w:hAnsi="標楷體" w:cs="Times New Roman"/>
          <w:color w:val="3366FF"/>
          <w:sz w:val="96"/>
          <w:szCs w:val="96"/>
        </w:rPr>
      </w:pPr>
      <w:r w:rsidRPr="00422FB7">
        <w:rPr>
          <w:rFonts w:ascii="標楷體" w:eastAsia="標楷體" w:hAnsi="標楷體"/>
          <w:noProof/>
        </w:rPr>
        <w:drawing>
          <wp:anchor distT="0" distB="0" distL="114300" distR="114300" simplePos="0" relativeHeight="251661312" behindDoc="0" locked="0" layoutInCell="1" allowOverlap="1" wp14:anchorId="7E2A1AEF" wp14:editId="2040AFA9">
            <wp:simplePos x="0" y="0"/>
            <wp:positionH relativeFrom="column">
              <wp:posOffset>36662</wp:posOffset>
            </wp:positionH>
            <wp:positionV relativeFrom="paragraph">
              <wp:posOffset>286828</wp:posOffset>
            </wp:positionV>
            <wp:extent cx="1143000" cy="874395"/>
            <wp:effectExtent l="19050" t="0" r="0" b="0"/>
            <wp:wrapNone/>
            <wp:docPr id="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63CDF" wp14:editId="1F5DB9D0">
                <wp:simplePos x="0" y="0"/>
                <wp:positionH relativeFrom="margin">
                  <wp:align>right</wp:align>
                </wp:positionH>
                <wp:positionV relativeFrom="paragraph">
                  <wp:posOffset>267131</wp:posOffset>
                </wp:positionV>
                <wp:extent cx="1417320" cy="970280"/>
                <wp:effectExtent l="0" t="0" r="11430" b="20320"/>
                <wp:wrapNone/>
                <wp:docPr id="7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97028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D365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出版單位：藥劑科</w:t>
                            </w:r>
                          </w:p>
                          <w:p w14:paraId="791AACAD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聯絡電話：</w:t>
                            </w:r>
                          </w:p>
                          <w:p w14:paraId="0F5F597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>
                              <w:rPr>
                                <w:rFonts w:eastAsia="標楷體"/>
                              </w:rPr>
                              <w:t>4629292</w:t>
                            </w:r>
                            <w:r w:rsidRPr="00D973EE">
                              <w:rPr>
                                <w:rFonts w:eastAsia="標楷體"/>
                              </w:rPr>
                              <w:t>-</w:t>
                            </w:r>
                            <w:r>
                              <w:rPr>
                                <w:rFonts w:eastAsia="標楷體"/>
                              </w:rPr>
                              <w:t>22525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363CDF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26" type="#_x0000_t202" style="position:absolute;left:0;text-align:left;margin-left:60.4pt;margin-top:21.05pt;width:111.6pt;height:76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" fillcolor="#9c0" strokecolor="#9c0">
                <v:textbox>
                  <w:txbxContent>
                    <w:p w14:paraId="5CFD365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出版單位：藥劑科</w:t>
                      </w:r>
                    </w:p>
                    <w:p w14:paraId="791AACAD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聯絡電話：</w:t>
                      </w:r>
                    </w:p>
                    <w:p w14:paraId="0F5F597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>
                        <w:rPr>
                          <w:rFonts w:eastAsia="標楷體"/>
                        </w:rPr>
                        <w:t>4629292</w:t>
                      </w:r>
                      <w:r w:rsidRPr="00D973EE">
                        <w:rPr>
                          <w:rFonts w:eastAsia="標楷體"/>
                        </w:rPr>
                        <w:t>-</w:t>
                      </w:r>
                      <w:r>
                        <w:rPr>
                          <w:rFonts w:eastAsia="標楷體"/>
                        </w:rPr>
                        <w:t>22525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B77065" wp14:editId="1BDDDCAF">
                <wp:simplePos x="0" y="0"/>
                <wp:positionH relativeFrom="margin">
                  <wp:align>left</wp:align>
                </wp:positionH>
                <wp:positionV relativeFrom="paragraph">
                  <wp:posOffset>250166</wp:posOffset>
                </wp:positionV>
                <wp:extent cx="5257800" cy="1371600"/>
                <wp:effectExtent l="0" t="0" r="0" b="0"/>
                <wp:wrapNone/>
                <wp:docPr id="4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3716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414E65" id="矩形 7" o:spid="_x0000_s1026" style="position:absolute;margin-left:0;margin-top:19.7pt;width:414pt;height:108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" fillcolor="#ff9" stroked="f">
                <v:fill opacity="32896f"/>
                <w10:wrap anchorx="margin"/>
              </v:rect>
            </w:pict>
          </mc:Fallback>
        </mc:AlternateContent>
      </w:r>
      <w:r w:rsidR="000E4E2C"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070E9F" wp14:editId="77EC5E5E">
                <wp:simplePos x="0" y="0"/>
                <wp:positionH relativeFrom="column">
                  <wp:posOffset>1363345</wp:posOffset>
                </wp:positionH>
                <wp:positionV relativeFrom="paragraph">
                  <wp:posOffset>800100</wp:posOffset>
                </wp:positionV>
                <wp:extent cx="2857500" cy="571500"/>
                <wp:effectExtent l="0" t="0" r="0" b="0"/>
                <wp:wrapNone/>
                <wp:docPr id="6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C77B1" w14:textId="77777777" w:rsidR="000E4E2C" w:rsidRPr="007B33FB" w:rsidRDefault="000E4E2C" w:rsidP="000E4E2C">
                            <w:pPr>
                              <w:spacing w:line="320" w:lineRule="exact"/>
                              <w:rPr>
                                <w:rFonts w:eastAsia="標楷體"/>
                                <w:sz w:val="36"/>
                                <w:szCs w:val="36"/>
                              </w:rPr>
                            </w:pP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Ten-Chan Medical group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70E9F" id="文字方塊 10" o:spid="_x0000_s1027" type="#_x0000_t202" style="position:absolute;left:0;text-align:left;margin-left:107.35pt;margin-top:63pt;width:22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" filled="f" stroked="f">
                <v:textbox>
                  <w:txbxContent>
                    <w:p w14:paraId="60CC77B1" w14:textId="77777777" w:rsidR="000E4E2C" w:rsidRPr="007B33FB" w:rsidRDefault="000E4E2C" w:rsidP="000E4E2C">
                      <w:pPr>
                        <w:spacing w:line="320" w:lineRule="exact"/>
                        <w:rPr>
                          <w:rFonts w:eastAsia="標楷體"/>
                          <w:sz w:val="36"/>
                          <w:szCs w:val="36"/>
                        </w:rPr>
                      </w:pP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Ten-Chan Medical group</w:t>
                      </w:r>
                    </w:p>
                  </w:txbxContent>
                </v:textbox>
              </v:shape>
            </w:pict>
          </mc:Fallback>
        </mc:AlternateContent>
      </w:r>
      <w:r w:rsidR="000E4E2C" w:rsidRPr="00422FB7">
        <w:rPr>
          <w:rFonts w:ascii="標楷體" w:eastAsia="標楷體" w:hAnsi="標楷體" w:cs="標楷體" w:hint="eastAsia"/>
          <w:color w:val="3366FF"/>
          <w:sz w:val="96"/>
          <w:szCs w:val="96"/>
        </w:rPr>
        <w:t>藥訊</w:t>
      </w:r>
    </w:p>
    <w:p w14:paraId="1719C1E6" w14:textId="77777777" w:rsidR="000E4E2C" w:rsidRPr="00422FB7" w:rsidRDefault="000E4E2C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52304B54" w14:textId="732C285C" w:rsidR="000E4E2C" w:rsidRPr="00422FB7" w:rsidRDefault="00880054" w:rsidP="00880054">
      <w:pPr>
        <w:jc w:val="right"/>
        <w:rPr>
          <w:rFonts w:ascii="標楷體" w:eastAsia="標楷體" w:hAnsi="標楷體"/>
          <w:b/>
          <w:bCs/>
          <w:color w:val="7030A0"/>
          <w:sz w:val="28"/>
          <w:szCs w:val="28"/>
        </w:rPr>
      </w:pPr>
      <w:r w:rsidRPr="00422FB7">
        <w:rPr>
          <w:rFonts w:ascii="標楷體" w:eastAsia="標楷體" w:hAnsi="標楷體"/>
          <w:b/>
          <w:bCs/>
          <w:color w:val="FF0000"/>
        </w:rPr>
        <w:tab/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81A471C" wp14:editId="1326CDA6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2971800" cy="457200"/>
                <wp:effectExtent l="0" t="0" r="0" b="0"/>
                <wp:wrapNone/>
                <wp:docPr id="3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CF947" w14:textId="77777777" w:rsidR="00880054" w:rsidRDefault="00880054" w:rsidP="00880054">
                            <w:pPr>
                              <w:rPr>
                                <w:rFonts w:eastAsia="標楷體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標楷體" w:cs="標楷體" w:hint="eastAsia"/>
                                <w:color w:val="FF0000"/>
                                <w:sz w:val="28"/>
                                <w:szCs w:val="28"/>
                              </w:rPr>
                              <w:t>健康、真愛、天成心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A471C" id="文字方塊 6" o:spid="_x0000_s1028" type="#_x0000_t202" style="position:absolute;left:0;text-align:left;margin-left:18pt;margin-top:0;width:234pt;height:3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" filled="f" stroked="f">
                <v:textbox>
                  <w:txbxContent>
                    <w:p w14:paraId="713CF947" w14:textId="77777777" w:rsidR="00880054" w:rsidRDefault="00880054" w:rsidP="00880054">
                      <w:pPr>
                        <w:rPr>
                          <w:rFonts w:eastAsia="標楷體" w:cs="Times New Roman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eastAsia="標楷體" w:cs="標楷體" w:hint="eastAsia"/>
                          <w:color w:val="FF0000"/>
                          <w:sz w:val="28"/>
                          <w:szCs w:val="28"/>
                        </w:rPr>
                        <w:t>健康、真愛、天成心</w:t>
                      </w:r>
                    </w:p>
                  </w:txbxContent>
                </v:textbox>
              </v:shape>
            </w:pict>
          </mc:Fallback>
        </mc:AlternateContent>
      </w:r>
      <w:r w:rsidRPr="00422FB7">
        <w:rPr>
          <w:rFonts w:ascii="標楷體" w:eastAsia="標楷體" w:hAnsi="標楷體" w:cs="標楷體" w:hint="eastAsia"/>
          <w:color w:val="FF0000"/>
          <w:sz w:val="40"/>
          <w:szCs w:val="40"/>
        </w:rPr>
        <w:t>期別</w:t>
      </w:r>
      <w:r w:rsidRPr="00422FB7">
        <w:rPr>
          <w:rFonts w:ascii="標楷體" w:eastAsia="標楷體" w:hAnsi="標楷體"/>
          <w:b/>
          <w:bCs/>
          <w:color w:val="7030A0"/>
          <w:sz w:val="28"/>
          <w:szCs w:val="28"/>
        </w:rPr>
        <w:t>No.</w:t>
      </w:r>
      <w:r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1</w:t>
      </w:r>
      <w:r w:rsidR="00C840D5" w:rsidRPr="00422FB7">
        <w:rPr>
          <w:rFonts w:ascii="標楷體" w:eastAsia="標楷體" w:hAnsi="標楷體"/>
          <w:b/>
          <w:bCs/>
          <w:color w:val="7030A0"/>
          <w:sz w:val="28"/>
          <w:szCs w:val="28"/>
        </w:rPr>
        <w:t>1</w:t>
      </w:r>
      <w:r w:rsidR="00044BBD"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2</w:t>
      </w:r>
      <w:r w:rsidR="00422FB7"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0</w:t>
      </w:r>
      <w:r w:rsidR="00E02B42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2</w:t>
      </w:r>
    </w:p>
    <w:p w14:paraId="7DC19381" w14:textId="77777777" w:rsidR="00880054" w:rsidRPr="00422FB7" w:rsidRDefault="00880054" w:rsidP="00327E7C">
      <w:pPr>
        <w:jc w:val="center"/>
        <w:rPr>
          <w:rFonts w:ascii="標楷體" w:eastAsia="標楷體" w:hAnsi="標楷體" w:cs="Times New Roman"/>
          <w:b/>
          <w:bCs/>
          <w:color w:val="FF0000"/>
        </w:rPr>
      </w:pPr>
    </w:p>
    <w:p w14:paraId="07D62BD1" w14:textId="02E561A6" w:rsidR="0033286C" w:rsidRPr="00E02B42" w:rsidRDefault="00E02B42" w:rsidP="00E02B42">
      <w:pPr>
        <w:jc w:val="center"/>
        <w:rPr>
          <w:rFonts w:ascii="標楷體" w:eastAsia="標楷體" w:hAnsi="標楷體"/>
          <w:b/>
          <w:color w:val="FF0000"/>
          <w:sz w:val="36"/>
          <w:szCs w:val="36"/>
        </w:rPr>
      </w:pPr>
      <w:r w:rsidRPr="00E02B42">
        <w:rPr>
          <w:rFonts w:ascii="標楷體" w:eastAsia="標楷體" w:hAnsi="標楷體" w:hint="eastAsia"/>
          <w:b/>
          <w:color w:val="FF0000"/>
          <w:sz w:val="36"/>
          <w:szCs w:val="36"/>
        </w:rPr>
        <w:t>莫德納次世代疫苗介紹</w:t>
      </w:r>
    </w:p>
    <w:p w14:paraId="3B2B222C" w14:textId="2070B8F8" w:rsidR="00327E7C" w:rsidRPr="00422FB7" w:rsidRDefault="00E02B42" w:rsidP="00827BC1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王祥智</w:t>
      </w:r>
      <w:r w:rsidR="00C840D5" w:rsidRPr="00422FB7">
        <w:rPr>
          <w:rFonts w:ascii="標楷體" w:eastAsia="標楷體" w:hAnsi="標楷體" w:hint="eastAsia"/>
          <w:sz w:val="28"/>
          <w:szCs w:val="28"/>
        </w:rPr>
        <w:t xml:space="preserve"> </w:t>
      </w:r>
      <w:r w:rsidR="00A94656" w:rsidRPr="00422FB7">
        <w:rPr>
          <w:rFonts w:ascii="標楷體" w:eastAsia="標楷體" w:hAnsi="標楷體" w:hint="eastAsia"/>
          <w:szCs w:val="24"/>
        </w:rPr>
        <w:t>藥師</w:t>
      </w:r>
    </w:p>
    <w:p w14:paraId="19463AB1" w14:textId="77777777" w:rsidR="00E02B42" w:rsidRPr="00E02B42" w:rsidRDefault="00E02B42" w:rsidP="00E02B42">
      <w:pPr>
        <w:pStyle w:val="a4"/>
        <w:numPr>
          <w:ilvl w:val="0"/>
          <w:numId w:val="29"/>
        </w:numPr>
        <w:ind w:leftChars="0"/>
        <w:rPr>
          <w:rFonts w:ascii="標楷體" w:eastAsia="標楷體" w:hAnsi="標楷體"/>
          <w:b/>
          <w:color w:val="FF0000"/>
          <w:sz w:val="28"/>
          <w:szCs w:val="28"/>
        </w:rPr>
      </w:pPr>
      <w:r w:rsidRPr="00E02B42">
        <w:rPr>
          <w:rFonts w:ascii="標楷體" w:eastAsia="標楷體" w:hAnsi="標楷體" w:hint="eastAsia"/>
          <w:b/>
          <w:color w:val="FF0000"/>
          <w:sz w:val="28"/>
          <w:szCs w:val="28"/>
        </w:rPr>
        <w:t>前言</w:t>
      </w:r>
    </w:p>
    <w:p w14:paraId="3646610F" w14:textId="77777777" w:rsidR="00E02B42" w:rsidRPr="00E02B42" w:rsidRDefault="00E02B42" w:rsidP="00E02B42">
      <w:pPr>
        <w:pStyle w:val="a4"/>
        <w:ind w:leftChars="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目前各國</w:t>
      </w:r>
      <w:r w:rsidRPr="00E02B42">
        <w:rPr>
          <w:rFonts w:ascii="標楷體" w:eastAsia="標楷體" w:hAnsi="標楷體"/>
          <w:sz w:val="28"/>
          <w:szCs w:val="28"/>
        </w:rPr>
        <w:t>走向與病毒共存的後疫情世代</w:t>
      </w:r>
      <w:r w:rsidRPr="00E02B42">
        <w:rPr>
          <w:rFonts w:ascii="標楷體" w:eastAsia="標楷體" w:hAnsi="標楷體" w:hint="eastAsia"/>
          <w:sz w:val="28"/>
          <w:szCs w:val="28"/>
        </w:rPr>
        <w:t>，所以新的變種病毒也跟著國境開放移入台灣，所以接種新的次世代疫苗是勢在必行。</w:t>
      </w:r>
    </w:p>
    <w:p w14:paraId="45063E3C" w14:textId="77777777" w:rsidR="00E02B42" w:rsidRPr="00E02B42" w:rsidRDefault="00E02B42" w:rsidP="00E02B42">
      <w:pPr>
        <w:pStyle w:val="a4"/>
        <w:ind w:leftChars="0" w:left="0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</w:p>
    <w:p w14:paraId="1B8E7012" w14:textId="77777777" w:rsidR="00E02B42" w:rsidRPr="00E02B42" w:rsidRDefault="00E02B42" w:rsidP="00E02B42">
      <w:pPr>
        <w:pStyle w:val="a4"/>
        <w:numPr>
          <w:ilvl w:val="0"/>
          <w:numId w:val="29"/>
        </w:numPr>
        <w:ind w:leftChars="0"/>
        <w:rPr>
          <w:rFonts w:ascii="標楷體" w:eastAsia="標楷體" w:hAnsi="標楷體"/>
          <w:b/>
          <w:sz w:val="28"/>
          <w:szCs w:val="28"/>
        </w:rPr>
      </w:pPr>
      <w:r w:rsidRPr="004E6DE3">
        <w:rPr>
          <w:rFonts w:ascii="標楷體" w:eastAsia="標楷體" w:hAnsi="標楷體" w:hint="eastAsia"/>
          <w:b/>
          <w:color w:val="FF0000"/>
          <w:sz w:val="28"/>
          <w:szCs w:val="28"/>
        </w:rPr>
        <w:t>何謂次世代疫苗</w:t>
      </w:r>
    </w:p>
    <w:p w14:paraId="426E2813" w14:textId="77777777" w:rsidR="00E02B42" w:rsidRPr="00E02B42" w:rsidRDefault="00E02B42" w:rsidP="00E02B42">
      <w:pPr>
        <w:pStyle w:val="a4"/>
        <w:ind w:leftChars="0"/>
        <w:rPr>
          <w:rFonts w:ascii="標楷體" w:eastAsia="標楷體" w:hAnsi="標楷體"/>
          <w:color w:val="333333"/>
          <w:spacing w:val="15"/>
          <w:sz w:val="28"/>
          <w:szCs w:val="28"/>
          <w:shd w:val="clear" w:color="auto" w:fill="FFFFFF"/>
        </w:rPr>
      </w:pPr>
      <w:r w:rsidRPr="00E02B42">
        <w:rPr>
          <w:rFonts w:ascii="標楷體" w:eastAsia="標楷體" w:hAnsi="標楷體"/>
          <w:color w:val="333333"/>
          <w:spacing w:val="15"/>
          <w:sz w:val="28"/>
          <w:szCs w:val="28"/>
          <w:shd w:val="clear" w:color="auto" w:fill="FFFFFF"/>
        </w:rPr>
        <w:t>食藥署表示，莫德納雙價疫苗為次世代疫苗，每劑0.5 mL含有25微克原型株mRNA及25微克Omicron BA.1變異株mRNA。</w:t>
      </w:r>
      <w:r w:rsidRPr="00E02B42">
        <w:rPr>
          <w:rFonts w:ascii="標楷體" w:eastAsia="標楷體" w:hAnsi="標楷體" w:hint="eastAsia"/>
          <w:color w:val="333333"/>
          <w:spacing w:val="15"/>
          <w:sz w:val="28"/>
          <w:szCs w:val="28"/>
          <w:shd w:val="clear" w:color="auto" w:fill="FFFFFF"/>
        </w:rPr>
        <w:t>依據</w:t>
      </w:r>
      <w:r w:rsidRPr="00E02B42">
        <w:rPr>
          <w:rFonts w:ascii="標楷體" w:eastAsia="標楷體" w:hAnsi="標楷體"/>
          <w:color w:val="333333"/>
          <w:spacing w:val="15"/>
          <w:sz w:val="28"/>
          <w:szCs w:val="28"/>
          <w:shd w:val="clear" w:color="auto" w:fill="FFFFFF"/>
        </w:rPr>
        <w:t>莫德納雙價疫苗的一項第二/三期臨床試驗結果顯示，以雙價疫苗作為追加劑，</w:t>
      </w:r>
      <w:r w:rsidRPr="00E02B42">
        <w:rPr>
          <w:rFonts w:ascii="標楷體" w:eastAsia="標楷體" w:hAnsi="標楷體" w:hint="eastAsia"/>
          <w:color w:val="333333"/>
          <w:spacing w:val="15"/>
          <w:sz w:val="28"/>
          <w:szCs w:val="28"/>
          <w:shd w:val="clear" w:color="auto" w:fill="FFFFFF"/>
        </w:rPr>
        <w:t>比</w:t>
      </w:r>
      <w:r w:rsidRPr="00E02B42">
        <w:rPr>
          <w:rFonts w:ascii="標楷體" w:eastAsia="標楷體" w:hAnsi="標楷體"/>
          <w:color w:val="333333"/>
          <w:spacing w:val="15"/>
          <w:sz w:val="28"/>
          <w:szCs w:val="28"/>
          <w:shd w:val="clear" w:color="auto" w:fill="FFFFFF"/>
        </w:rPr>
        <w:t>以原型株疫苗作為追加劑，能夠誘發對抗Omicron BA.1變異株的中和抗體免疫反應</w:t>
      </w:r>
      <w:r w:rsidRPr="00E02B42">
        <w:rPr>
          <w:rFonts w:ascii="標楷體" w:eastAsia="標楷體" w:hAnsi="標楷體" w:hint="eastAsia"/>
          <w:color w:val="333333"/>
          <w:spacing w:val="15"/>
          <w:sz w:val="28"/>
          <w:szCs w:val="28"/>
          <w:shd w:val="clear" w:color="auto" w:fill="FFFFFF"/>
        </w:rPr>
        <w:t>，而</w:t>
      </w:r>
      <w:r w:rsidRPr="00E02B42">
        <w:rPr>
          <w:rFonts w:ascii="標楷體" w:eastAsia="標楷體" w:hAnsi="標楷體"/>
          <w:color w:val="333333"/>
          <w:spacing w:val="15"/>
          <w:sz w:val="28"/>
          <w:szCs w:val="28"/>
          <w:shd w:val="clear" w:color="auto" w:fill="FFFFFF"/>
        </w:rPr>
        <w:t>探索性分析數據顯示，雙價疫苗也能夠誘發對抗Omicron BA.4/BA.5變異株的中和抗體免疫反應</w:t>
      </w:r>
      <w:r w:rsidRPr="00E02B42">
        <w:rPr>
          <w:rFonts w:ascii="標楷體" w:eastAsia="標楷體" w:hAnsi="標楷體" w:hint="eastAsia"/>
          <w:color w:val="333333"/>
          <w:spacing w:val="15"/>
          <w:sz w:val="28"/>
          <w:szCs w:val="28"/>
          <w:shd w:val="clear" w:color="auto" w:fill="FFFFFF"/>
        </w:rPr>
        <w:t>，</w:t>
      </w:r>
      <w:r w:rsidRPr="00E02B42">
        <w:rPr>
          <w:rFonts w:ascii="標楷體" w:eastAsia="標楷體" w:hAnsi="標楷體"/>
          <w:color w:val="333333"/>
          <w:spacing w:val="15"/>
          <w:sz w:val="28"/>
          <w:szCs w:val="28"/>
          <w:shd w:val="clear" w:color="auto" w:fill="FFFFFF"/>
        </w:rPr>
        <w:t>可適用於18歲以上成人主動免疫之追加接種，其用法用量為在國內已授權的COVID-19疫苗之基礎接種或追加劑後</w:t>
      </w:r>
      <w:r w:rsidRPr="00E02B42">
        <w:rPr>
          <w:rFonts w:ascii="標楷體" w:eastAsia="標楷體" w:hAnsi="標楷體" w:hint="eastAsia"/>
          <w:color w:val="333333"/>
          <w:spacing w:val="15"/>
          <w:sz w:val="28"/>
          <w:szCs w:val="28"/>
          <w:shd w:val="clear" w:color="auto" w:fill="FFFFFF"/>
        </w:rPr>
        <w:t>。</w:t>
      </w:r>
    </w:p>
    <w:p w14:paraId="170429F6" w14:textId="77777777" w:rsidR="00E02B42" w:rsidRPr="00E02B42" w:rsidRDefault="00E02B42" w:rsidP="00E02B42">
      <w:pPr>
        <w:pStyle w:val="a4"/>
        <w:ind w:leftChars="0"/>
        <w:rPr>
          <w:rFonts w:ascii="標楷體" w:eastAsia="標楷體" w:hAnsi="標楷體"/>
          <w:color w:val="333333"/>
          <w:spacing w:val="15"/>
          <w:sz w:val="28"/>
          <w:szCs w:val="28"/>
          <w:shd w:val="clear" w:color="auto" w:fill="FFFFFF"/>
        </w:rPr>
      </w:pPr>
    </w:p>
    <w:p w14:paraId="15CA79AB" w14:textId="77777777" w:rsidR="00E02B42" w:rsidRPr="00E02B42" w:rsidRDefault="00E02B42" w:rsidP="00E02B42">
      <w:pPr>
        <w:pStyle w:val="a4"/>
        <w:ind w:leftChars="0"/>
        <w:rPr>
          <w:rFonts w:ascii="標楷體" w:eastAsia="標楷體" w:hAnsi="標楷體"/>
          <w:color w:val="333333"/>
          <w:spacing w:val="15"/>
          <w:sz w:val="28"/>
          <w:szCs w:val="28"/>
          <w:shd w:val="clear" w:color="auto" w:fill="FFFFFF"/>
        </w:rPr>
      </w:pPr>
      <w:r w:rsidRPr="00E02B42">
        <w:rPr>
          <w:rFonts w:ascii="標楷體" w:eastAsia="標楷體" w:hAnsi="標楷體" w:hint="eastAsia"/>
          <w:color w:val="333333"/>
          <w:spacing w:val="15"/>
          <w:sz w:val="28"/>
          <w:szCs w:val="28"/>
          <w:shd w:val="clear" w:color="auto" w:fill="FFFFFF"/>
        </w:rPr>
        <w:t>次世代疫苗差異</w:t>
      </w:r>
    </w:p>
    <w:tbl>
      <w:tblPr>
        <w:tblStyle w:val="aa"/>
        <w:tblW w:w="0" w:type="auto"/>
        <w:tblInd w:w="480" w:type="dxa"/>
        <w:tblLook w:val="04A0" w:firstRow="1" w:lastRow="0" w:firstColumn="1" w:lastColumn="0" w:noHBand="0" w:noVBand="1"/>
      </w:tblPr>
      <w:tblGrid>
        <w:gridCol w:w="2067"/>
        <w:gridCol w:w="3108"/>
        <w:gridCol w:w="2635"/>
      </w:tblGrid>
      <w:tr w:rsidR="00E02B42" w:rsidRPr="00E02B42" w14:paraId="191353DD" w14:textId="77777777" w:rsidTr="008970AA">
        <w:tc>
          <w:tcPr>
            <w:tcW w:w="2067" w:type="dxa"/>
          </w:tcPr>
          <w:p w14:paraId="13AA4A8C" w14:textId="77777777" w:rsidR="00E02B42" w:rsidRPr="00E02B42" w:rsidRDefault="00E02B42" w:rsidP="008970AA">
            <w:pPr>
              <w:pStyle w:val="a4"/>
              <w:ind w:leftChars="0" w:left="0"/>
              <w:rPr>
                <w:rFonts w:ascii="標楷體" w:eastAsia="標楷體" w:hAnsi="標楷體"/>
                <w:color w:val="333333"/>
                <w:spacing w:val="15"/>
                <w:sz w:val="28"/>
                <w:szCs w:val="28"/>
                <w:shd w:val="clear" w:color="auto" w:fill="FFFFFF"/>
              </w:rPr>
            </w:pPr>
            <w:r w:rsidRPr="00E02B42">
              <w:rPr>
                <w:rFonts w:ascii="標楷體" w:eastAsia="標楷體" w:hAnsi="標楷體" w:hint="eastAsia"/>
                <w:color w:val="333333"/>
                <w:spacing w:val="15"/>
                <w:sz w:val="28"/>
                <w:szCs w:val="28"/>
                <w:shd w:val="clear" w:color="auto" w:fill="FFFFFF"/>
              </w:rPr>
              <w:t>疫苗株</w:t>
            </w:r>
          </w:p>
        </w:tc>
        <w:tc>
          <w:tcPr>
            <w:tcW w:w="3108" w:type="dxa"/>
          </w:tcPr>
          <w:p w14:paraId="06FAA3E5" w14:textId="77777777" w:rsidR="00E02B42" w:rsidRPr="00E02B42" w:rsidRDefault="00E02B42" w:rsidP="008970AA">
            <w:pPr>
              <w:pStyle w:val="a4"/>
              <w:ind w:leftChars="0" w:left="0"/>
              <w:rPr>
                <w:rFonts w:ascii="標楷體" w:eastAsia="標楷體" w:hAnsi="標楷體"/>
                <w:color w:val="333333"/>
                <w:spacing w:val="15"/>
                <w:sz w:val="28"/>
                <w:szCs w:val="28"/>
                <w:shd w:val="clear" w:color="auto" w:fill="FFFFFF"/>
              </w:rPr>
            </w:pPr>
            <w:r w:rsidRPr="00E02B42">
              <w:rPr>
                <w:rFonts w:ascii="標楷體" w:eastAsia="標楷體" w:hAnsi="標楷體"/>
                <w:color w:val="333333"/>
                <w:spacing w:val="15"/>
                <w:sz w:val="28"/>
                <w:szCs w:val="28"/>
                <w:shd w:val="clear" w:color="auto" w:fill="FFFFFF"/>
              </w:rPr>
              <w:t>mRNA-1273.214</w:t>
            </w:r>
          </w:p>
        </w:tc>
        <w:tc>
          <w:tcPr>
            <w:tcW w:w="2635" w:type="dxa"/>
          </w:tcPr>
          <w:p w14:paraId="586E4329" w14:textId="77777777" w:rsidR="00E02B42" w:rsidRPr="00E02B42" w:rsidRDefault="00E02B42" w:rsidP="008970AA">
            <w:pPr>
              <w:pStyle w:val="a4"/>
              <w:ind w:leftChars="0" w:left="0"/>
              <w:rPr>
                <w:rFonts w:ascii="標楷體" w:eastAsia="標楷體" w:hAnsi="標楷體"/>
                <w:color w:val="333333"/>
                <w:spacing w:val="15"/>
                <w:sz w:val="28"/>
                <w:szCs w:val="28"/>
                <w:shd w:val="clear" w:color="auto" w:fill="FFFFFF"/>
              </w:rPr>
            </w:pPr>
            <w:r w:rsidRPr="00E02B42">
              <w:rPr>
                <w:rFonts w:ascii="標楷體" w:eastAsia="標楷體" w:hAnsi="標楷體"/>
                <w:color w:val="333333"/>
                <w:spacing w:val="15"/>
                <w:sz w:val="28"/>
                <w:szCs w:val="28"/>
                <w:shd w:val="clear" w:color="auto" w:fill="FFFFFF"/>
              </w:rPr>
              <w:t>mRNA-1273.222</w:t>
            </w:r>
          </w:p>
        </w:tc>
      </w:tr>
      <w:tr w:rsidR="00E02B42" w:rsidRPr="00E02B42" w14:paraId="2A0463D2" w14:textId="77777777" w:rsidTr="008970AA">
        <w:tc>
          <w:tcPr>
            <w:tcW w:w="2067" w:type="dxa"/>
          </w:tcPr>
          <w:p w14:paraId="15850234" w14:textId="77777777" w:rsidR="00E02B42" w:rsidRPr="00E02B42" w:rsidRDefault="00E02B42" w:rsidP="008970AA">
            <w:pPr>
              <w:pStyle w:val="a4"/>
              <w:ind w:leftChars="0" w:left="0"/>
              <w:rPr>
                <w:rFonts w:ascii="標楷體" w:eastAsia="標楷體" w:hAnsi="標楷體"/>
                <w:color w:val="333333"/>
                <w:spacing w:val="15"/>
                <w:sz w:val="28"/>
                <w:szCs w:val="28"/>
                <w:shd w:val="clear" w:color="auto" w:fill="FFFFFF"/>
              </w:rPr>
            </w:pPr>
            <w:r w:rsidRPr="00E02B42">
              <w:rPr>
                <w:rFonts w:ascii="標楷體" w:eastAsia="標楷體" w:hAnsi="標楷體" w:hint="eastAsia"/>
                <w:color w:val="333333"/>
                <w:spacing w:val="15"/>
                <w:sz w:val="28"/>
                <w:szCs w:val="28"/>
                <w:shd w:val="clear" w:color="auto" w:fill="FFFFFF"/>
              </w:rPr>
              <w:t>送審相關資料</w:t>
            </w:r>
          </w:p>
        </w:tc>
        <w:tc>
          <w:tcPr>
            <w:tcW w:w="3108" w:type="dxa"/>
          </w:tcPr>
          <w:p w14:paraId="2AB25238" w14:textId="77777777" w:rsidR="00E02B42" w:rsidRPr="00E02B42" w:rsidRDefault="00E02B42" w:rsidP="00E02B42">
            <w:pPr>
              <w:pStyle w:val="a4"/>
              <w:numPr>
                <w:ilvl w:val="0"/>
                <w:numId w:val="31"/>
              </w:numPr>
              <w:ind w:leftChars="0"/>
              <w:rPr>
                <w:rFonts w:ascii="標楷體" w:eastAsia="標楷體" w:hAnsi="標楷體"/>
                <w:color w:val="333333"/>
                <w:spacing w:val="15"/>
                <w:sz w:val="28"/>
                <w:szCs w:val="28"/>
                <w:shd w:val="clear" w:color="auto" w:fill="FFFFFF"/>
              </w:rPr>
            </w:pPr>
            <w:r w:rsidRPr="00E02B42">
              <w:rPr>
                <w:rFonts w:ascii="標楷體" w:eastAsia="標楷體" w:hAnsi="標楷體" w:hint="eastAsia"/>
                <w:color w:val="333333"/>
                <w:spacing w:val="15"/>
                <w:sz w:val="28"/>
                <w:szCs w:val="28"/>
                <w:shd w:val="clear" w:color="auto" w:fill="FFFFFF"/>
              </w:rPr>
              <w:t>第二、三期臨床實驗</w:t>
            </w:r>
          </w:p>
          <w:p w14:paraId="1608F335" w14:textId="77777777" w:rsidR="00E02B42" w:rsidRPr="00E02B42" w:rsidRDefault="00E02B42" w:rsidP="00E02B42">
            <w:pPr>
              <w:pStyle w:val="a4"/>
              <w:numPr>
                <w:ilvl w:val="0"/>
                <w:numId w:val="31"/>
              </w:numPr>
              <w:ind w:leftChars="0"/>
              <w:rPr>
                <w:rFonts w:ascii="標楷體" w:eastAsia="標楷體" w:hAnsi="標楷體"/>
                <w:color w:val="333333"/>
                <w:spacing w:val="15"/>
                <w:sz w:val="28"/>
                <w:szCs w:val="28"/>
                <w:shd w:val="clear" w:color="auto" w:fill="FFFFFF"/>
              </w:rPr>
            </w:pPr>
            <w:r w:rsidRPr="00E02B42">
              <w:rPr>
                <w:rFonts w:ascii="標楷體" w:eastAsia="標楷體" w:hAnsi="標楷體" w:hint="eastAsia"/>
                <w:color w:val="333333"/>
                <w:spacing w:val="15"/>
                <w:sz w:val="28"/>
                <w:szCs w:val="28"/>
                <w:shd w:val="clear" w:color="auto" w:fill="FFFFFF"/>
              </w:rPr>
              <w:t>動物實驗</w:t>
            </w:r>
          </w:p>
        </w:tc>
        <w:tc>
          <w:tcPr>
            <w:tcW w:w="2635" w:type="dxa"/>
          </w:tcPr>
          <w:p w14:paraId="7066E8F4" w14:textId="77777777" w:rsidR="00E02B42" w:rsidRPr="00E02B42" w:rsidRDefault="00E02B42" w:rsidP="00E02B42">
            <w:pPr>
              <w:pStyle w:val="a4"/>
              <w:numPr>
                <w:ilvl w:val="0"/>
                <w:numId w:val="31"/>
              </w:numPr>
              <w:ind w:leftChars="0"/>
              <w:rPr>
                <w:rFonts w:ascii="標楷體" w:eastAsia="標楷體" w:hAnsi="標楷體"/>
                <w:color w:val="333333"/>
                <w:spacing w:val="15"/>
                <w:sz w:val="28"/>
                <w:szCs w:val="28"/>
                <w:shd w:val="clear" w:color="auto" w:fill="FFFFFF"/>
              </w:rPr>
            </w:pPr>
            <w:r w:rsidRPr="00E02B42">
              <w:rPr>
                <w:rFonts w:ascii="標楷體" w:eastAsia="標楷體" w:hAnsi="標楷體" w:hint="eastAsia"/>
                <w:color w:val="333333"/>
                <w:spacing w:val="15"/>
                <w:sz w:val="28"/>
                <w:szCs w:val="28"/>
                <w:shd w:val="clear" w:color="auto" w:fill="FFFFFF"/>
              </w:rPr>
              <w:t>動物實驗</w:t>
            </w:r>
          </w:p>
          <w:p w14:paraId="3703DB64" w14:textId="77777777" w:rsidR="00E02B42" w:rsidRPr="00E02B42" w:rsidRDefault="00E02B42" w:rsidP="00E02B42">
            <w:pPr>
              <w:pStyle w:val="a4"/>
              <w:numPr>
                <w:ilvl w:val="0"/>
                <w:numId w:val="31"/>
              </w:numPr>
              <w:ind w:leftChars="0"/>
              <w:rPr>
                <w:rFonts w:ascii="標楷體" w:eastAsia="標楷體" w:hAnsi="標楷體"/>
                <w:color w:val="333333"/>
                <w:spacing w:val="15"/>
                <w:sz w:val="28"/>
                <w:szCs w:val="28"/>
                <w:shd w:val="clear" w:color="auto" w:fill="FFFFFF"/>
              </w:rPr>
            </w:pPr>
            <w:r w:rsidRPr="00E02B42">
              <w:rPr>
                <w:rFonts w:ascii="標楷體" w:eastAsia="標楷體" w:hAnsi="標楷體" w:hint="eastAsia"/>
                <w:color w:val="333333"/>
                <w:spacing w:val="15"/>
                <w:sz w:val="28"/>
                <w:szCs w:val="28"/>
                <w:shd w:val="clear" w:color="auto" w:fill="FFFFFF"/>
              </w:rPr>
              <w:t>B</w:t>
            </w:r>
            <w:r w:rsidRPr="00E02B42">
              <w:rPr>
                <w:rFonts w:ascii="標楷體" w:eastAsia="標楷體" w:hAnsi="標楷體"/>
                <w:color w:val="333333"/>
                <w:spacing w:val="15"/>
                <w:sz w:val="28"/>
                <w:szCs w:val="28"/>
                <w:shd w:val="clear" w:color="auto" w:fill="FFFFFF"/>
              </w:rPr>
              <w:t>A1</w:t>
            </w:r>
            <w:r w:rsidRPr="00E02B42">
              <w:rPr>
                <w:rFonts w:ascii="標楷體" w:eastAsia="標楷體" w:hAnsi="標楷體" w:hint="eastAsia"/>
                <w:color w:val="333333"/>
                <w:spacing w:val="15"/>
                <w:sz w:val="28"/>
                <w:szCs w:val="28"/>
                <w:shd w:val="clear" w:color="auto" w:fill="FFFFFF"/>
              </w:rPr>
              <w:t>臨床實驗佐證資料</w:t>
            </w:r>
          </w:p>
        </w:tc>
      </w:tr>
    </w:tbl>
    <w:p w14:paraId="057636A0" w14:textId="77777777" w:rsidR="00E02B42" w:rsidRPr="00E02B42" w:rsidRDefault="00E02B42" w:rsidP="00E02B42">
      <w:pPr>
        <w:pStyle w:val="a4"/>
        <w:ind w:leftChars="0"/>
        <w:rPr>
          <w:rFonts w:ascii="標楷體" w:eastAsia="標楷體" w:hAnsi="標楷體"/>
          <w:color w:val="333333"/>
          <w:spacing w:val="15"/>
          <w:sz w:val="28"/>
          <w:szCs w:val="28"/>
          <w:shd w:val="clear" w:color="auto" w:fill="FFFFFF"/>
        </w:rPr>
      </w:pPr>
    </w:p>
    <w:p w14:paraId="231A489B" w14:textId="77777777" w:rsidR="00E02B42" w:rsidRPr="00E02B42" w:rsidRDefault="00E02B42" w:rsidP="00E02B42">
      <w:pPr>
        <w:pStyle w:val="a4"/>
        <w:ind w:leftChars="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接種劑量</w:t>
      </w:r>
    </w:p>
    <w:p w14:paraId="426029CA" w14:textId="77777777" w:rsidR="00E02B42" w:rsidRPr="00E02B42" w:rsidRDefault="00E02B42" w:rsidP="00E02B42">
      <w:pPr>
        <w:pStyle w:val="a4"/>
        <w:ind w:leftChars="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/>
          <w:sz w:val="28"/>
          <w:szCs w:val="28"/>
        </w:rPr>
        <w:t>12</w:t>
      </w:r>
      <w:r w:rsidRPr="00E02B42">
        <w:rPr>
          <w:rFonts w:ascii="標楷體" w:eastAsia="標楷體" w:hAnsi="標楷體" w:hint="eastAsia"/>
          <w:sz w:val="28"/>
          <w:szCs w:val="28"/>
        </w:rPr>
        <w:t>歲以上及成人：接種劑量為</w:t>
      </w:r>
      <w:r w:rsidRPr="00E02B42">
        <w:rPr>
          <w:rFonts w:ascii="標楷體" w:eastAsia="標楷體" w:hAnsi="標楷體"/>
          <w:sz w:val="28"/>
          <w:szCs w:val="28"/>
        </w:rPr>
        <w:t>0.5ml(</w:t>
      </w:r>
      <w:r w:rsidRPr="00E02B42">
        <w:rPr>
          <w:rFonts w:ascii="標楷體" w:eastAsia="標楷體" w:hAnsi="標楷體" w:hint="eastAsia"/>
          <w:sz w:val="28"/>
          <w:szCs w:val="28"/>
        </w:rPr>
        <w:t>內包含</w:t>
      </w:r>
      <w:r w:rsidRPr="00E02B42">
        <w:rPr>
          <w:rFonts w:ascii="標楷體" w:eastAsia="標楷體" w:hAnsi="標楷體"/>
          <w:sz w:val="28"/>
          <w:szCs w:val="28"/>
        </w:rPr>
        <w:t>50mcg mRNA)</w:t>
      </w:r>
    </w:p>
    <w:p w14:paraId="7E300F28" w14:textId="77777777" w:rsidR="00E02B42" w:rsidRPr="00E02B42" w:rsidRDefault="00E02B42" w:rsidP="00E02B42">
      <w:pPr>
        <w:pStyle w:val="a4"/>
        <w:ind w:leftChars="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/>
          <w:sz w:val="28"/>
          <w:szCs w:val="28"/>
        </w:rPr>
        <w:t>6</w:t>
      </w:r>
      <w:r w:rsidRPr="00E02B42">
        <w:rPr>
          <w:rFonts w:ascii="標楷體" w:eastAsia="標楷體" w:hAnsi="標楷體" w:hint="eastAsia"/>
          <w:sz w:val="28"/>
          <w:szCs w:val="28"/>
        </w:rPr>
        <w:t>到</w:t>
      </w:r>
      <w:r w:rsidRPr="00E02B42">
        <w:rPr>
          <w:rFonts w:ascii="標楷體" w:eastAsia="標楷體" w:hAnsi="標楷體"/>
          <w:sz w:val="28"/>
          <w:szCs w:val="28"/>
        </w:rPr>
        <w:t>11</w:t>
      </w:r>
      <w:r w:rsidRPr="00E02B42">
        <w:rPr>
          <w:rFonts w:ascii="標楷體" w:eastAsia="標楷體" w:hAnsi="標楷體" w:hint="eastAsia"/>
          <w:sz w:val="28"/>
          <w:szCs w:val="28"/>
        </w:rPr>
        <w:t>歲兒童：接種劑量為</w:t>
      </w:r>
      <w:r w:rsidRPr="00E02B42">
        <w:rPr>
          <w:rFonts w:ascii="標楷體" w:eastAsia="標楷體" w:hAnsi="標楷體"/>
          <w:sz w:val="28"/>
          <w:szCs w:val="28"/>
        </w:rPr>
        <w:t>0.25</w:t>
      </w:r>
      <w:r w:rsidRPr="00E02B42">
        <w:rPr>
          <w:rFonts w:ascii="標楷體" w:eastAsia="標楷體" w:hAnsi="標楷體" w:hint="eastAsia"/>
          <w:sz w:val="28"/>
          <w:szCs w:val="28"/>
        </w:rPr>
        <w:t>m</w:t>
      </w:r>
      <w:r w:rsidRPr="00E02B42">
        <w:rPr>
          <w:rFonts w:ascii="標楷體" w:eastAsia="標楷體" w:hAnsi="標楷體"/>
          <w:sz w:val="28"/>
          <w:szCs w:val="28"/>
        </w:rPr>
        <w:t>l(</w:t>
      </w:r>
      <w:r w:rsidRPr="00E02B42">
        <w:rPr>
          <w:rFonts w:ascii="標楷體" w:eastAsia="標楷體" w:hAnsi="標楷體" w:hint="eastAsia"/>
          <w:sz w:val="28"/>
          <w:szCs w:val="28"/>
        </w:rPr>
        <w:t>內包含</w:t>
      </w:r>
      <w:r w:rsidRPr="00E02B42">
        <w:rPr>
          <w:rFonts w:ascii="標楷體" w:eastAsia="標楷體" w:hAnsi="標楷體"/>
          <w:sz w:val="28"/>
          <w:szCs w:val="28"/>
        </w:rPr>
        <w:t>25mcg mRNA)</w:t>
      </w:r>
    </w:p>
    <w:p w14:paraId="14C27D80" w14:textId="77777777" w:rsidR="00E02B42" w:rsidRPr="00E02B42" w:rsidRDefault="00E02B42" w:rsidP="00E02B42">
      <w:pPr>
        <w:pStyle w:val="a4"/>
        <w:ind w:leftChars="0"/>
        <w:rPr>
          <w:rFonts w:ascii="標楷體" w:eastAsia="標楷體" w:hAnsi="標楷體"/>
          <w:sz w:val="28"/>
          <w:szCs w:val="28"/>
        </w:rPr>
      </w:pPr>
    </w:p>
    <w:p w14:paraId="045556AB" w14:textId="77777777" w:rsidR="00E02B42" w:rsidRPr="00E02B42" w:rsidRDefault="00E02B42" w:rsidP="00E02B42">
      <w:pPr>
        <w:pStyle w:val="a4"/>
        <w:ind w:leftChars="0" w:left="0"/>
        <w:rPr>
          <w:rFonts w:ascii="標楷體" w:eastAsia="標楷體" w:hAnsi="標楷體"/>
          <w:b/>
          <w:color w:val="FF0000"/>
          <w:sz w:val="28"/>
          <w:szCs w:val="28"/>
        </w:rPr>
      </w:pPr>
      <w:r w:rsidRPr="00E02B42">
        <w:rPr>
          <w:rFonts w:ascii="標楷體" w:eastAsia="標楷體" w:hAnsi="標楷體" w:hint="eastAsia"/>
          <w:b/>
          <w:color w:val="FF0000"/>
          <w:sz w:val="28"/>
          <w:szCs w:val="28"/>
        </w:rPr>
        <w:t>三、接種條件</w:t>
      </w:r>
    </w:p>
    <w:p w14:paraId="58EA9651" w14:textId="77777777" w:rsidR="00E02B42" w:rsidRPr="00E02B42" w:rsidRDefault="00E02B42" w:rsidP="00E02B42">
      <w:pPr>
        <w:pStyle w:val="a4"/>
        <w:ind w:leftChars="215" w:left="516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目前開放接種條件的人有</w:t>
      </w:r>
      <w:r w:rsidRPr="00E02B42">
        <w:rPr>
          <w:rFonts w:ascii="標楷體" w:eastAsia="標楷體" w:hAnsi="標楷體"/>
          <w:sz w:val="28"/>
          <w:szCs w:val="28"/>
        </w:rPr>
        <w:t>65歲以上長者、長照機構住民、18歲以上免疫不全及免疫力低下者</w:t>
      </w:r>
      <w:r w:rsidRPr="00E02B42">
        <w:rPr>
          <w:rFonts w:ascii="標楷體" w:eastAsia="標楷體" w:hAnsi="標楷體" w:hint="eastAsia"/>
          <w:sz w:val="28"/>
          <w:szCs w:val="28"/>
        </w:rPr>
        <w:t>、</w:t>
      </w:r>
      <w:r w:rsidRPr="00E02B42">
        <w:rPr>
          <w:rFonts w:ascii="標楷體" w:eastAsia="標楷體" w:hAnsi="標楷體"/>
          <w:sz w:val="28"/>
          <w:szCs w:val="28"/>
        </w:rPr>
        <w:t>第一類醫事人員、機場港埠、居家檢疫相關工作人員及航空機組員</w:t>
      </w:r>
      <w:r w:rsidRPr="00E02B42">
        <w:rPr>
          <w:rFonts w:ascii="標楷體" w:eastAsia="標楷體" w:hAnsi="標楷體" w:hint="eastAsia"/>
          <w:sz w:val="28"/>
          <w:szCs w:val="28"/>
        </w:rPr>
        <w:t>或</w:t>
      </w:r>
      <w:r w:rsidRPr="00E02B42">
        <w:rPr>
          <w:rFonts w:ascii="標楷體" w:eastAsia="標楷體" w:hAnsi="標楷體"/>
          <w:sz w:val="28"/>
          <w:szCs w:val="28"/>
        </w:rPr>
        <w:t>船員、機構與社福照護系統相關工作人員、50至64歲成人、18歲以上因外交、公務、洽商等工作需求需出國者</w:t>
      </w:r>
      <w:r w:rsidRPr="00E02B42">
        <w:rPr>
          <w:rFonts w:ascii="標楷體" w:eastAsia="標楷體" w:hAnsi="標楷體" w:hint="eastAsia"/>
          <w:sz w:val="28"/>
          <w:szCs w:val="28"/>
        </w:rPr>
        <w:t>，除此以外只要滿</w:t>
      </w:r>
      <w:r w:rsidRPr="00E02B42">
        <w:rPr>
          <w:rFonts w:ascii="標楷體" w:eastAsia="標楷體" w:hAnsi="標楷體"/>
          <w:sz w:val="28"/>
          <w:szCs w:val="28"/>
        </w:rPr>
        <w:t>18</w:t>
      </w:r>
      <w:r w:rsidRPr="00E02B42">
        <w:rPr>
          <w:rFonts w:ascii="標楷體" w:eastAsia="標楷體" w:hAnsi="標楷體" w:hint="eastAsia"/>
          <w:sz w:val="28"/>
          <w:szCs w:val="28"/>
        </w:rPr>
        <w:t>歲以上的一般民眾只要與前一劑施打滿三個月以上即可施打</w:t>
      </w:r>
      <w:r w:rsidRPr="00E02B42">
        <w:rPr>
          <w:rFonts w:ascii="標楷體" w:eastAsia="標楷體" w:hAnsi="標楷體" w:hint="eastAsia"/>
          <w:sz w:val="28"/>
          <w:szCs w:val="28"/>
        </w:rPr>
        <w:br/>
      </w:r>
    </w:p>
    <w:p w14:paraId="3A95841B" w14:textId="77777777" w:rsidR="00E02B42" w:rsidRPr="00E02B42" w:rsidRDefault="00E02B42" w:rsidP="00E02B42">
      <w:pPr>
        <w:pStyle w:val="a4"/>
        <w:ind w:leftChars="0" w:left="0"/>
        <w:rPr>
          <w:rFonts w:ascii="標楷體" w:eastAsia="標楷體" w:hAnsi="標楷體"/>
          <w:b/>
          <w:color w:val="FF0000"/>
          <w:sz w:val="28"/>
          <w:szCs w:val="28"/>
        </w:rPr>
      </w:pPr>
      <w:r w:rsidRPr="00E02B42">
        <w:rPr>
          <w:rFonts w:ascii="標楷體" w:eastAsia="標楷體" w:hAnsi="標楷體" w:hint="eastAsia"/>
          <w:b/>
          <w:color w:val="FF0000"/>
          <w:sz w:val="28"/>
          <w:szCs w:val="28"/>
        </w:rPr>
        <w:t>五、接種間隔時間</w:t>
      </w:r>
    </w:p>
    <w:p w14:paraId="14F9E21E" w14:textId="77777777" w:rsidR="00E02B42" w:rsidRPr="00E02B42" w:rsidRDefault="00E02B42" w:rsidP="00E02B42">
      <w:pPr>
        <w:pStyle w:val="a4"/>
        <w:ind w:leftChars="177" w:left="425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lastRenderedPageBreak/>
        <w:t>依照疫情指揮中心建議追加劑（包含單價及次世代雙價疫苗）接種間隔與上一劑至少間隔三個月以上，包含以下：</w:t>
      </w:r>
    </w:p>
    <w:p w14:paraId="5164585D" w14:textId="77777777" w:rsidR="00E02B42" w:rsidRPr="00E02B42" w:rsidRDefault="00E02B42" w:rsidP="00E02B42">
      <w:pPr>
        <w:pStyle w:val="a4"/>
        <w:numPr>
          <w:ilvl w:val="0"/>
          <w:numId w:val="32"/>
        </w:numPr>
        <w:ind w:leftChars="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基礎劑最後一劑</w:t>
      </w:r>
      <w:r w:rsidRPr="00E02B42">
        <w:rPr>
          <w:rFonts w:ascii="標楷體" w:eastAsia="標楷體" w:hAnsi="標楷體"/>
          <w:sz w:val="28"/>
          <w:szCs w:val="28"/>
        </w:rPr>
        <w:t>/</w:t>
      </w:r>
      <w:r w:rsidRPr="00E02B42">
        <w:rPr>
          <w:rFonts w:ascii="標楷體" w:eastAsia="標楷體" w:hAnsi="標楷體" w:hint="eastAsia"/>
          <w:sz w:val="28"/>
          <w:szCs w:val="28"/>
        </w:rPr>
        <w:t>基礎加強劑與第一次追加劑</w:t>
      </w:r>
    </w:p>
    <w:p w14:paraId="119EBBDC" w14:textId="77777777" w:rsidR="00E02B42" w:rsidRPr="00E02B42" w:rsidRDefault="00E02B42" w:rsidP="00E02B42">
      <w:pPr>
        <w:pStyle w:val="a4"/>
        <w:numPr>
          <w:ilvl w:val="0"/>
          <w:numId w:val="32"/>
        </w:numPr>
        <w:ind w:leftChars="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第一次與第二次追加劑</w:t>
      </w:r>
    </w:p>
    <w:p w14:paraId="119992C2" w14:textId="77777777" w:rsidR="00E02B42" w:rsidRPr="00E02B42" w:rsidRDefault="00E02B42" w:rsidP="00E02B42">
      <w:pPr>
        <w:pStyle w:val="a4"/>
        <w:numPr>
          <w:ilvl w:val="0"/>
          <w:numId w:val="32"/>
        </w:numPr>
        <w:ind w:leftChars="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第二次與第三次追加劑之間隔</w:t>
      </w:r>
    </w:p>
    <w:p w14:paraId="4B9FD9EB" w14:textId="77777777" w:rsidR="00E02B42" w:rsidRPr="00E02B42" w:rsidRDefault="00E02B42" w:rsidP="00E02B42">
      <w:pPr>
        <w:pStyle w:val="a4"/>
        <w:numPr>
          <w:ilvl w:val="0"/>
          <w:numId w:val="32"/>
        </w:numPr>
        <w:ind w:leftChars="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確診後需間隔三個月接種</w:t>
      </w:r>
    </w:p>
    <w:p w14:paraId="4E77E41D" w14:textId="77777777" w:rsidR="00E02B42" w:rsidRPr="00E02B42" w:rsidRDefault="00E02B42" w:rsidP="00E02B42">
      <w:pPr>
        <w:pStyle w:val="a4"/>
        <w:ind w:leftChars="0" w:left="0"/>
        <w:rPr>
          <w:rFonts w:ascii="標楷體" w:eastAsia="標楷體" w:hAnsi="標楷體"/>
          <w:sz w:val="28"/>
          <w:szCs w:val="28"/>
        </w:rPr>
      </w:pPr>
    </w:p>
    <w:p w14:paraId="6876FAE8" w14:textId="77777777" w:rsidR="00E02B42" w:rsidRPr="00E02B42" w:rsidRDefault="00E02B42" w:rsidP="00E02B42">
      <w:pPr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b/>
          <w:color w:val="FF0000"/>
          <w:sz w:val="28"/>
          <w:szCs w:val="28"/>
        </w:rPr>
        <w:t>六、接種注意事項</w:t>
      </w:r>
      <w:r w:rsidRPr="00E02B42">
        <w:rPr>
          <w:rFonts w:ascii="標楷體" w:eastAsia="標楷體" w:hAnsi="標楷體" w:hint="eastAsia"/>
          <w:sz w:val="28"/>
          <w:szCs w:val="28"/>
        </w:rPr>
        <w:br/>
      </w:r>
      <w:r w:rsidRPr="00E02B42">
        <w:rPr>
          <w:rFonts w:ascii="標楷體" w:eastAsia="標楷體" w:hAnsi="標楷體"/>
          <w:sz w:val="28"/>
          <w:szCs w:val="28"/>
        </w:rPr>
        <w:t xml:space="preserve">    </w:t>
      </w:r>
      <w:r w:rsidRPr="00E02B42">
        <w:rPr>
          <w:rFonts w:ascii="標楷體" w:eastAsia="標楷體" w:hAnsi="標楷體" w:hint="eastAsia"/>
          <w:sz w:val="28"/>
          <w:szCs w:val="28"/>
        </w:rPr>
        <w:t>１．此疫苗可同時其他疫苗同時不同手臂施打</w:t>
      </w:r>
    </w:p>
    <w:p w14:paraId="37849656" w14:textId="77777777" w:rsidR="00E02B42" w:rsidRPr="00E02B42" w:rsidRDefault="00E02B42" w:rsidP="00E02B42">
      <w:pPr>
        <w:pStyle w:val="a4"/>
        <w:ind w:leftChars="204" w:left="49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２．有發燒或是當下有中重毒疾病患者宜待病情穩定後再施打</w:t>
      </w:r>
    </w:p>
    <w:p w14:paraId="748824F9" w14:textId="77777777" w:rsidR="00E02B42" w:rsidRPr="00E02B42" w:rsidRDefault="00E02B42" w:rsidP="00E02B42">
      <w:pPr>
        <w:pStyle w:val="a4"/>
        <w:ind w:leftChars="204" w:left="1050" w:hangingChars="200" w:hanging="56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３．</w:t>
      </w:r>
      <w:r w:rsidRPr="00E02B42">
        <w:rPr>
          <w:rFonts w:ascii="標楷體" w:eastAsia="標楷體" w:hAnsi="標楷體"/>
          <w:sz w:val="28"/>
          <w:szCs w:val="28"/>
        </w:rPr>
        <w:t>懷孕期間可以接種</w:t>
      </w:r>
      <w:r w:rsidRPr="00E02B42">
        <w:rPr>
          <w:rFonts w:ascii="標楷體" w:eastAsia="標楷體" w:hAnsi="標楷體" w:hint="eastAsia"/>
          <w:sz w:val="28"/>
          <w:szCs w:val="28"/>
        </w:rPr>
        <w:t>，</w:t>
      </w:r>
      <w:r w:rsidRPr="00E02B42">
        <w:rPr>
          <w:rFonts w:ascii="標楷體" w:eastAsia="標楷體" w:hAnsi="標楷體"/>
          <w:sz w:val="28"/>
          <w:szCs w:val="28"/>
        </w:rPr>
        <w:t>因大量的資料顯示，孕婦在第二與第三孕期接</w:t>
      </w:r>
      <w:r w:rsidRPr="00E02B42">
        <w:rPr>
          <w:rFonts w:ascii="標楷體" w:eastAsia="標楷體" w:hAnsi="標楷體" w:hint="eastAsia"/>
          <w:sz w:val="28"/>
          <w:szCs w:val="28"/>
        </w:rPr>
        <w:t>種次世代疫苗並</w:t>
      </w:r>
      <w:r w:rsidRPr="00E02B42">
        <w:rPr>
          <w:rFonts w:ascii="標楷體" w:eastAsia="標楷體" w:hAnsi="標楷體"/>
          <w:sz w:val="28"/>
          <w:szCs w:val="28"/>
        </w:rPr>
        <w:t>未增加不良懷孕結果</w:t>
      </w:r>
    </w:p>
    <w:p w14:paraId="25FF6C74" w14:textId="77777777" w:rsidR="00E02B42" w:rsidRPr="00E02B42" w:rsidRDefault="00E02B42" w:rsidP="00E02B42">
      <w:pPr>
        <w:pStyle w:val="a4"/>
        <w:ind w:leftChars="204" w:left="1050" w:hangingChars="200" w:hanging="56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４．</w:t>
      </w:r>
      <w:r w:rsidRPr="00E02B42">
        <w:rPr>
          <w:rFonts w:ascii="標楷體" w:eastAsia="標楷體" w:hAnsi="標楷體"/>
          <w:sz w:val="28"/>
          <w:szCs w:val="28"/>
        </w:rPr>
        <w:t>若哺乳中的婦女為建議接種之風險對象</w:t>
      </w:r>
      <w:r w:rsidRPr="00E02B42">
        <w:rPr>
          <w:rFonts w:ascii="標楷體" w:eastAsia="標楷體" w:hAnsi="標楷體" w:hint="eastAsia"/>
          <w:sz w:val="28"/>
          <w:szCs w:val="28"/>
        </w:rPr>
        <w:t>，</w:t>
      </w:r>
      <w:r w:rsidRPr="00E02B42">
        <w:rPr>
          <w:rFonts w:ascii="標楷體" w:eastAsia="標楷體" w:hAnsi="標楷體"/>
          <w:sz w:val="28"/>
          <w:szCs w:val="28"/>
        </w:rPr>
        <w:t>目前對哺乳中的婦女</w:t>
      </w:r>
      <w:r w:rsidRPr="00E02B42">
        <w:rPr>
          <w:rFonts w:ascii="標楷體" w:eastAsia="標楷體" w:hAnsi="標楷體" w:hint="eastAsia"/>
          <w:sz w:val="28"/>
          <w:szCs w:val="28"/>
        </w:rPr>
        <w:t>次世代疫苗的</w:t>
      </w:r>
      <w:r w:rsidRPr="00E02B42">
        <w:rPr>
          <w:rFonts w:ascii="標楷體" w:eastAsia="標楷體" w:hAnsi="標楷體"/>
          <w:sz w:val="28"/>
          <w:szCs w:val="28"/>
        </w:rPr>
        <w:t>安全性</w:t>
      </w:r>
      <w:r w:rsidRPr="00E02B42">
        <w:rPr>
          <w:rFonts w:ascii="標楷體" w:eastAsia="標楷體" w:hAnsi="標楷體" w:hint="eastAsia"/>
          <w:sz w:val="28"/>
          <w:szCs w:val="28"/>
        </w:rPr>
        <w:t>及</w:t>
      </w:r>
      <w:r w:rsidRPr="00E02B42">
        <w:rPr>
          <w:rFonts w:ascii="標楷體" w:eastAsia="標楷體" w:hAnsi="標楷體"/>
          <w:sz w:val="28"/>
          <w:szCs w:val="28"/>
        </w:rPr>
        <w:t>受哺嬰兒之影響尚未完全得到評估，但一般認為並不會造成相關風險</w:t>
      </w:r>
    </w:p>
    <w:p w14:paraId="52F06BB1" w14:textId="77777777" w:rsidR="00E02B42" w:rsidRPr="00E02B42" w:rsidRDefault="00E02B42" w:rsidP="00E02B42">
      <w:pPr>
        <w:pStyle w:val="a4"/>
        <w:numPr>
          <w:ilvl w:val="0"/>
          <w:numId w:val="30"/>
        </w:numPr>
        <w:ind w:leftChars="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有心臟性疾病的患者建議可先諮詢心髒科或感染科醫師後再種</w:t>
      </w:r>
    </w:p>
    <w:p w14:paraId="6C603F10" w14:textId="77777777" w:rsidR="00E02B42" w:rsidRPr="00E02B42" w:rsidRDefault="00E02B42" w:rsidP="00E02B42">
      <w:pPr>
        <w:pStyle w:val="a4"/>
        <w:ind w:leftChars="204" w:left="1050" w:hangingChars="200" w:hanging="560"/>
        <w:rPr>
          <w:rFonts w:ascii="標楷體" w:eastAsia="標楷體" w:hAnsi="標楷體"/>
          <w:sz w:val="28"/>
          <w:szCs w:val="28"/>
        </w:rPr>
      </w:pPr>
    </w:p>
    <w:p w14:paraId="436039E1" w14:textId="77777777" w:rsidR="00E02B42" w:rsidRPr="00E02B42" w:rsidRDefault="00E02B42" w:rsidP="00E02B42">
      <w:pPr>
        <w:rPr>
          <w:rFonts w:ascii="標楷體" w:eastAsia="標楷體" w:hAnsi="標楷體"/>
          <w:b/>
          <w:color w:val="FF0000"/>
          <w:sz w:val="28"/>
          <w:szCs w:val="28"/>
        </w:rPr>
      </w:pPr>
      <w:r w:rsidRPr="00E02B42">
        <w:rPr>
          <w:rFonts w:ascii="標楷體" w:eastAsia="標楷體" w:hAnsi="標楷體" w:hint="eastAsia"/>
          <w:b/>
          <w:color w:val="FF0000"/>
          <w:sz w:val="28"/>
          <w:szCs w:val="28"/>
        </w:rPr>
        <w:t>七、仿單所列之不良反應</w:t>
      </w:r>
    </w:p>
    <w:p w14:paraId="5D994A52" w14:textId="77777777" w:rsidR="00E02B42" w:rsidRPr="00E02B42" w:rsidRDefault="00E02B42" w:rsidP="00E02B42">
      <w:pPr>
        <w:pStyle w:val="a4"/>
        <w:ind w:leftChars="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依仿單所列</w:t>
      </w:r>
      <w:r w:rsidRPr="00E02B42">
        <w:rPr>
          <w:rFonts w:ascii="標楷體" w:eastAsia="標楷體" w:hAnsi="標楷體"/>
          <w:sz w:val="28"/>
          <w:szCs w:val="28"/>
        </w:rPr>
        <w:t>接種後 7 天內可能發生</w:t>
      </w:r>
      <w:r w:rsidRPr="00E02B42">
        <w:rPr>
          <w:rFonts w:ascii="標楷體" w:eastAsia="標楷體" w:hAnsi="標楷體" w:hint="eastAsia"/>
          <w:sz w:val="28"/>
          <w:szCs w:val="28"/>
        </w:rPr>
        <w:t>之不良反應有：注射部位腫痛、疲倦、頭痛、肌肉痛、畏寒、噁心、嘔吐、發燒</w:t>
      </w:r>
    </w:p>
    <w:p w14:paraId="2A32E6A1" w14:textId="77777777" w:rsidR="00E02B42" w:rsidRPr="00E02B42" w:rsidRDefault="00E02B42" w:rsidP="00E02B42">
      <w:pPr>
        <w:pStyle w:val="a4"/>
        <w:ind w:leftChars="0" w:left="0"/>
        <w:rPr>
          <w:rFonts w:ascii="標楷體" w:eastAsia="標楷體" w:hAnsi="標楷體"/>
          <w:b/>
          <w:color w:val="FF0000"/>
          <w:sz w:val="28"/>
          <w:szCs w:val="28"/>
        </w:rPr>
      </w:pPr>
      <w:r w:rsidRPr="00E02B42">
        <w:rPr>
          <w:rFonts w:ascii="標楷體" w:eastAsia="標楷體" w:hAnsi="標楷體" w:hint="eastAsia"/>
          <w:b/>
          <w:color w:val="FF0000"/>
          <w:sz w:val="28"/>
          <w:szCs w:val="28"/>
        </w:rPr>
        <w:lastRenderedPageBreak/>
        <w:t>八、接種前建議</w:t>
      </w:r>
    </w:p>
    <w:p w14:paraId="7DC689F9" w14:textId="77777777" w:rsidR="00E02B42" w:rsidRPr="00E02B42" w:rsidRDefault="00E02B42" w:rsidP="00E02B42">
      <w:pPr>
        <w:ind w:left="49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1．建議充足睡眠：建議接種前不熬夜睡滿七小時以上</w:t>
      </w:r>
      <w:r w:rsidRPr="00E02B42">
        <w:rPr>
          <w:rFonts w:ascii="標楷體" w:eastAsia="標楷體" w:hAnsi="標楷體" w:cs="Cambria Math" w:hint="eastAsia"/>
          <w:sz w:val="28"/>
          <w:szCs w:val="28"/>
        </w:rPr>
        <w:t>。</w:t>
      </w:r>
    </w:p>
    <w:p w14:paraId="44A80D58" w14:textId="77777777" w:rsidR="00E02B42" w:rsidRPr="00E02B42" w:rsidRDefault="00E02B42" w:rsidP="00E02B42">
      <w:pPr>
        <w:ind w:leftChars="204" w:left="910" w:hangingChars="150" w:hanging="42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/>
          <w:sz w:val="28"/>
          <w:szCs w:val="28"/>
        </w:rPr>
        <w:t>2</w:t>
      </w:r>
      <w:r w:rsidRPr="00E02B42">
        <w:rPr>
          <w:rFonts w:ascii="標楷體" w:eastAsia="標楷體" w:hAnsi="標楷體" w:hint="eastAsia"/>
          <w:sz w:val="28"/>
          <w:szCs w:val="28"/>
        </w:rPr>
        <w:t>．適度補充水分：適度補充水份可以幫助代謝身體的廢物，也可幫助施打後的高燒症狀。</w:t>
      </w:r>
    </w:p>
    <w:p w14:paraId="7E14B46B" w14:textId="77777777" w:rsidR="00E02B42" w:rsidRPr="00E02B42" w:rsidRDefault="00E02B42" w:rsidP="00E02B42">
      <w:pPr>
        <w:ind w:leftChars="204" w:left="910" w:hangingChars="150" w:hanging="42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/>
          <w:sz w:val="28"/>
          <w:szCs w:val="28"/>
        </w:rPr>
        <w:t>3</w:t>
      </w:r>
      <w:r w:rsidRPr="00E02B42">
        <w:rPr>
          <w:rFonts w:ascii="標楷體" w:eastAsia="標楷體" w:hAnsi="標楷體" w:hint="eastAsia"/>
          <w:sz w:val="28"/>
          <w:szCs w:val="28"/>
        </w:rPr>
        <w:t>．維持平常心：接種疫苗時維持平常心即可，不需過度緊張，依照醫療人員的指示完成接種即可。</w:t>
      </w:r>
    </w:p>
    <w:p w14:paraId="7B5A69B3" w14:textId="77777777" w:rsidR="00E02B42" w:rsidRPr="00E02B42" w:rsidRDefault="00E02B42" w:rsidP="00E02B42">
      <w:pPr>
        <w:ind w:leftChars="204" w:left="910" w:hangingChars="150" w:hanging="42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/>
          <w:sz w:val="28"/>
          <w:szCs w:val="28"/>
        </w:rPr>
        <w:t>4</w:t>
      </w:r>
      <w:r w:rsidRPr="00E02B42">
        <w:rPr>
          <w:rFonts w:ascii="標楷體" w:eastAsia="標楷體" w:hAnsi="標楷體" w:hint="eastAsia"/>
          <w:sz w:val="28"/>
          <w:szCs w:val="28"/>
        </w:rPr>
        <w:t>．接種完後不須按揉注射部位，因疫苗需時間吸收才能有效製造抗體，也可避免造成淤青以及藥品太快被血管吸收而無法發生作用。</w:t>
      </w:r>
    </w:p>
    <w:p w14:paraId="5695E98B" w14:textId="77777777" w:rsidR="00E02B42" w:rsidRPr="00E02B42" w:rsidRDefault="00E02B42" w:rsidP="00E02B42">
      <w:pPr>
        <w:ind w:leftChars="204" w:left="910" w:hangingChars="150" w:hanging="42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/>
          <w:sz w:val="28"/>
          <w:szCs w:val="28"/>
        </w:rPr>
        <w:t>5</w:t>
      </w:r>
      <w:r w:rsidRPr="00E02B42">
        <w:rPr>
          <w:rFonts w:ascii="標楷體" w:eastAsia="標楷體" w:hAnsi="標楷體" w:hint="eastAsia"/>
          <w:sz w:val="28"/>
          <w:szCs w:val="28"/>
        </w:rPr>
        <w:t>．至於接種前是否要先吃退燒藥預防副作用，其實可以不用，除非接種後還有發燒症狀才需使用退燒藥品。</w:t>
      </w:r>
    </w:p>
    <w:p w14:paraId="502D5A87" w14:textId="77777777" w:rsidR="00E02B42" w:rsidRPr="00E02B42" w:rsidRDefault="00E02B42" w:rsidP="00E02B42">
      <w:pPr>
        <w:ind w:leftChars="204" w:left="910" w:hangingChars="150" w:hanging="420"/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sz w:val="28"/>
          <w:szCs w:val="28"/>
        </w:rPr>
        <w:t>6．接種後需留下觀察</w:t>
      </w:r>
      <w:r w:rsidRPr="00E02B42">
        <w:rPr>
          <w:rFonts w:ascii="標楷體" w:eastAsia="標楷體" w:hAnsi="標楷體"/>
          <w:sz w:val="28"/>
          <w:szCs w:val="28"/>
        </w:rPr>
        <w:t>15</w:t>
      </w:r>
      <w:r w:rsidRPr="00E02B42">
        <w:rPr>
          <w:rFonts w:ascii="標楷體" w:eastAsia="標楷體" w:hAnsi="標楷體" w:hint="eastAsia"/>
          <w:sz w:val="28"/>
          <w:szCs w:val="28"/>
        </w:rPr>
        <w:t>分種後無異常就可離開</w:t>
      </w:r>
    </w:p>
    <w:p w14:paraId="673B90D4" w14:textId="6BDEECE3" w:rsidR="00A94656" w:rsidRPr="00E02B42" w:rsidRDefault="00E02B42" w:rsidP="00E02B42">
      <w:pPr>
        <w:rPr>
          <w:rFonts w:ascii="標楷體" w:eastAsia="標楷體" w:hAnsi="標楷體"/>
          <w:sz w:val="28"/>
          <w:szCs w:val="28"/>
        </w:rPr>
      </w:pPr>
      <w:r w:rsidRPr="00E02B42">
        <w:rPr>
          <w:rFonts w:ascii="標楷體" w:eastAsia="標楷體" w:hAnsi="標楷體" w:hint="eastAsia"/>
          <w:b/>
          <w:color w:val="FF0000"/>
          <w:sz w:val="28"/>
          <w:szCs w:val="28"/>
        </w:rPr>
        <w:t>九.資料來源</w:t>
      </w:r>
      <w:r w:rsidRPr="00E02B42">
        <w:rPr>
          <w:rFonts w:ascii="標楷體" w:eastAsia="標楷體" w:hAnsi="標楷體" w:hint="eastAsia"/>
          <w:sz w:val="28"/>
          <w:szCs w:val="28"/>
        </w:rPr>
        <w:t>:</w:t>
      </w:r>
      <w:r w:rsidRPr="00E02B42">
        <w:rPr>
          <w:rFonts w:ascii="標楷體" w:eastAsia="標楷體" w:hAnsi="標楷體"/>
          <w:sz w:val="28"/>
          <w:szCs w:val="28"/>
        </w:rPr>
        <w:t xml:space="preserve">CDC </w:t>
      </w:r>
      <w:r w:rsidRPr="00E02B42">
        <w:rPr>
          <w:rFonts w:ascii="標楷體" w:eastAsia="標楷體" w:hAnsi="標楷體" w:hint="eastAsia"/>
          <w:sz w:val="28"/>
          <w:szCs w:val="28"/>
        </w:rPr>
        <w:t>衛生福利部疾病管制署</w:t>
      </w:r>
    </w:p>
    <w:sectPr w:rsidR="00A94656" w:rsidRPr="00E02B42" w:rsidSect="00886601">
      <w:pgSz w:w="11906" w:h="16838"/>
      <w:pgMar w:top="1440" w:right="991" w:bottom="70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264B02" w14:textId="77777777" w:rsidR="00714921" w:rsidRDefault="00714921" w:rsidP="000E23C8">
      <w:r>
        <w:separator/>
      </w:r>
    </w:p>
  </w:endnote>
  <w:endnote w:type="continuationSeparator" w:id="0">
    <w:p w14:paraId="664B055D" w14:textId="77777777" w:rsidR="00714921" w:rsidRDefault="00714921" w:rsidP="000E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 Math">
    <w:panose1 w:val="02040503050406030204"/>
    <w:charset w:val="01"/>
    <w:family w:val="roman"/>
    <w:notTrueType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B19620" w14:textId="77777777" w:rsidR="00714921" w:rsidRDefault="00714921" w:rsidP="000E23C8">
      <w:r>
        <w:separator/>
      </w:r>
    </w:p>
  </w:footnote>
  <w:footnote w:type="continuationSeparator" w:id="0">
    <w:p w14:paraId="61889A05" w14:textId="77777777" w:rsidR="00714921" w:rsidRDefault="00714921" w:rsidP="000E2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B06B5"/>
    <w:multiLevelType w:val="hybridMultilevel"/>
    <w:tmpl w:val="CB309788"/>
    <w:lvl w:ilvl="0" w:tplc="7B76C186">
      <w:start w:val="1"/>
      <w:numFmt w:val="taiwaneseCountingThousand"/>
      <w:lvlText w:val="%1、"/>
      <w:lvlJc w:val="left"/>
      <w:pPr>
        <w:ind w:left="510" w:hanging="510"/>
      </w:pPr>
      <w:rPr>
        <w:rFonts w:cs="Arial" w:hint="default"/>
        <w:b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036BDF"/>
    <w:multiLevelType w:val="hybridMultilevel"/>
    <w:tmpl w:val="B978BE86"/>
    <w:lvl w:ilvl="0" w:tplc="C98446C2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8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0" w:hanging="480"/>
      </w:pPr>
      <w:rPr>
        <w:rFonts w:ascii="Wingdings" w:hAnsi="Wingdings" w:hint="default"/>
      </w:rPr>
    </w:lvl>
  </w:abstractNum>
  <w:abstractNum w:abstractNumId="2" w15:restartNumberingAfterBreak="0">
    <w:nsid w:val="04637547"/>
    <w:multiLevelType w:val="hybridMultilevel"/>
    <w:tmpl w:val="FF8078AA"/>
    <w:lvl w:ilvl="0" w:tplc="682CB78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4B83E88"/>
    <w:multiLevelType w:val="hybridMultilevel"/>
    <w:tmpl w:val="32822B5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FFD1150"/>
    <w:multiLevelType w:val="hybridMultilevel"/>
    <w:tmpl w:val="17EAAB3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0BF2142"/>
    <w:multiLevelType w:val="hybridMultilevel"/>
    <w:tmpl w:val="0D9ED51E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6" w15:restartNumberingAfterBreak="0">
    <w:nsid w:val="18116AB4"/>
    <w:multiLevelType w:val="hybridMultilevel"/>
    <w:tmpl w:val="B7605582"/>
    <w:lvl w:ilvl="0" w:tplc="DFE87B04">
      <w:start w:val="5"/>
      <w:numFmt w:val="decimalFullWidth"/>
      <w:lvlText w:val="%1．"/>
      <w:lvlJc w:val="left"/>
      <w:pPr>
        <w:ind w:left="906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7" w15:restartNumberingAfterBreak="0">
    <w:nsid w:val="1A2C4C4B"/>
    <w:multiLevelType w:val="hybridMultilevel"/>
    <w:tmpl w:val="2C4CCA4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0F17EBB"/>
    <w:multiLevelType w:val="hybridMultilevel"/>
    <w:tmpl w:val="AA2289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118412B"/>
    <w:multiLevelType w:val="hybridMultilevel"/>
    <w:tmpl w:val="43B6EE2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4534098"/>
    <w:multiLevelType w:val="hybridMultilevel"/>
    <w:tmpl w:val="0AC22CF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63C0B6E"/>
    <w:multiLevelType w:val="hybridMultilevel"/>
    <w:tmpl w:val="FB7A0F7E"/>
    <w:lvl w:ilvl="0" w:tplc="E3F2412E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71A58FE"/>
    <w:multiLevelType w:val="hybridMultilevel"/>
    <w:tmpl w:val="D5BC309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94A403A"/>
    <w:multiLevelType w:val="multilevel"/>
    <w:tmpl w:val="50D0B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0B202D"/>
    <w:multiLevelType w:val="hybridMultilevel"/>
    <w:tmpl w:val="6824C77E"/>
    <w:lvl w:ilvl="0" w:tplc="07A807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FEA6E3F"/>
    <w:multiLevelType w:val="hybridMultilevel"/>
    <w:tmpl w:val="8E4EB414"/>
    <w:lvl w:ilvl="0" w:tplc="04090001">
      <w:start w:val="1"/>
      <w:numFmt w:val="bullet"/>
      <w:lvlText w:val=""/>
      <w:lvlJc w:val="left"/>
      <w:pPr>
        <w:ind w:left="90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5" w:hanging="480"/>
      </w:pPr>
      <w:rPr>
        <w:rFonts w:ascii="Wingdings" w:hAnsi="Wingdings" w:hint="default"/>
      </w:rPr>
    </w:lvl>
  </w:abstractNum>
  <w:abstractNum w:abstractNumId="16" w15:restartNumberingAfterBreak="0">
    <w:nsid w:val="3A6458DD"/>
    <w:multiLevelType w:val="hybridMultilevel"/>
    <w:tmpl w:val="702A9EA6"/>
    <w:lvl w:ilvl="0" w:tplc="D372756A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17" w15:restartNumberingAfterBreak="0">
    <w:nsid w:val="3AA63A17"/>
    <w:multiLevelType w:val="hybridMultilevel"/>
    <w:tmpl w:val="6F40789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3E271E7F"/>
    <w:multiLevelType w:val="hybridMultilevel"/>
    <w:tmpl w:val="5B30AA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17F6485"/>
    <w:multiLevelType w:val="hybridMultilevel"/>
    <w:tmpl w:val="429E1B5C"/>
    <w:lvl w:ilvl="0" w:tplc="C172E90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58C3E8A"/>
    <w:multiLevelType w:val="hybridMultilevel"/>
    <w:tmpl w:val="8E98F7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462D7DAA"/>
    <w:multiLevelType w:val="hybridMultilevel"/>
    <w:tmpl w:val="A9F82786"/>
    <w:lvl w:ilvl="0" w:tplc="66764C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2" w15:restartNumberingAfterBreak="0">
    <w:nsid w:val="491D198D"/>
    <w:multiLevelType w:val="hybridMultilevel"/>
    <w:tmpl w:val="5CB86154"/>
    <w:lvl w:ilvl="0" w:tplc="C1BE15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BF41821"/>
    <w:multiLevelType w:val="hybridMultilevel"/>
    <w:tmpl w:val="85D6DE3E"/>
    <w:lvl w:ilvl="0" w:tplc="04090001">
      <w:start w:val="1"/>
      <w:numFmt w:val="bullet"/>
      <w:lvlText w:val=""/>
      <w:lvlJc w:val="left"/>
      <w:pPr>
        <w:ind w:left="61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5" w:hanging="480"/>
      </w:pPr>
      <w:rPr>
        <w:rFonts w:ascii="Wingdings" w:hAnsi="Wingdings" w:hint="default"/>
      </w:rPr>
    </w:lvl>
  </w:abstractNum>
  <w:abstractNum w:abstractNumId="24" w15:restartNumberingAfterBreak="0">
    <w:nsid w:val="4F5B17F3"/>
    <w:multiLevelType w:val="hybridMultilevel"/>
    <w:tmpl w:val="EC1C891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5" w15:restartNumberingAfterBreak="0">
    <w:nsid w:val="5A204E70"/>
    <w:multiLevelType w:val="hybridMultilevel"/>
    <w:tmpl w:val="C84A4B0A"/>
    <w:lvl w:ilvl="0" w:tplc="55A05BA0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26" w15:restartNumberingAfterBreak="0">
    <w:nsid w:val="5C8F1313"/>
    <w:multiLevelType w:val="multilevel"/>
    <w:tmpl w:val="EA8C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D02CD0"/>
    <w:multiLevelType w:val="hybridMultilevel"/>
    <w:tmpl w:val="B2CA7D70"/>
    <w:lvl w:ilvl="0" w:tplc="B8A6347E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28" w15:restartNumberingAfterBreak="0">
    <w:nsid w:val="6B2F4140"/>
    <w:multiLevelType w:val="multilevel"/>
    <w:tmpl w:val="E9A4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E1267C"/>
    <w:multiLevelType w:val="hybridMultilevel"/>
    <w:tmpl w:val="F09AD0B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72F625D4"/>
    <w:multiLevelType w:val="hybridMultilevel"/>
    <w:tmpl w:val="D784688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7937026E"/>
    <w:multiLevelType w:val="hybridMultilevel"/>
    <w:tmpl w:val="2CC29C44"/>
    <w:lvl w:ilvl="0" w:tplc="9942E5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3282302">
      <w:start w:val="7"/>
      <w:numFmt w:val="taiwaneseCountingThousand"/>
      <w:lvlText w:val="%2、"/>
      <w:lvlJc w:val="left"/>
      <w:pPr>
        <w:ind w:left="1200" w:hanging="72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2"/>
  </w:num>
  <w:num w:numId="2">
    <w:abstractNumId w:val="25"/>
  </w:num>
  <w:num w:numId="3">
    <w:abstractNumId w:val="27"/>
  </w:num>
  <w:num w:numId="4">
    <w:abstractNumId w:val="16"/>
  </w:num>
  <w:num w:numId="5">
    <w:abstractNumId w:val="1"/>
  </w:num>
  <w:num w:numId="6">
    <w:abstractNumId w:val="26"/>
    <w:lvlOverride w:ilvl="0">
      <w:startOverride w:val="50"/>
    </w:lvlOverride>
  </w:num>
  <w:num w:numId="7">
    <w:abstractNumId w:val="28"/>
    <w:lvlOverride w:ilvl="0">
      <w:startOverride w:val="50"/>
    </w:lvlOverride>
  </w:num>
  <w:num w:numId="8">
    <w:abstractNumId w:val="13"/>
    <w:lvlOverride w:ilvl="0">
      <w:startOverride w:val="50"/>
    </w:lvlOverride>
  </w:num>
  <w:num w:numId="9">
    <w:abstractNumId w:val="0"/>
  </w:num>
  <w:num w:numId="10">
    <w:abstractNumId w:val="19"/>
  </w:num>
  <w:num w:numId="11">
    <w:abstractNumId w:val="10"/>
  </w:num>
  <w:num w:numId="12">
    <w:abstractNumId w:val="21"/>
  </w:num>
  <w:num w:numId="13">
    <w:abstractNumId w:val="2"/>
  </w:num>
  <w:num w:numId="14">
    <w:abstractNumId w:val="23"/>
  </w:num>
  <w:num w:numId="15">
    <w:abstractNumId w:val="3"/>
  </w:num>
  <w:num w:numId="16">
    <w:abstractNumId w:val="24"/>
  </w:num>
  <w:num w:numId="17">
    <w:abstractNumId w:val="4"/>
  </w:num>
  <w:num w:numId="18">
    <w:abstractNumId w:val="18"/>
  </w:num>
  <w:num w:numId="19">
    <w:abstractNumId w:val="9"/>
  </w:num>
  <w:num w:numId="20">
    <w:abstractNumId w:val="29"/>
  </w:num>
  <w:num w:numId="21">
    <w:abstractNumId w:val="30"/>
  </w:num>
  <w:num w:numId="22">
    <w:abstractNumId w:val="5"/>
  </w:num>
  <w:num w:numId="23">
    <w:abstractNumId w:val="11"/>
  </w:num>
  <w:num w:numId="24">
    <w:abstractNumId w:val="14"/>
  </w:num>
  <w:num w:numId="25">
    <w:abstractNumId w:val="8"/>
  </w:num>
  <w:num w:numId="26">
    <w:abstractNumId w:val="31"/>
  </w:num>
  <w:num w:numId="27">
    <w:abstractNumId w:val="22"/>
  </w:num>
  <w:num w:numId="28">
    <w:abstractNumId w:val="20"/>
  </w:num>
  <w:num w:numId="29">
    <w:abstractNumId w:val="7"/>
  </w:num>
  <w:num w:numId="30">
    <w:abstractNumId w:val="6"/>
  </w:num>
  <w:num w:numId="31">
    <w:abstractNumId w:val="17"/>
  </w:num>
  <w:num w:numId="3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7C"/>
    <w:rsid w:val="000001ED"/>
    <w:rsid w:val="000123C8"/>
    <w:rsid w:val="00027B6A"/>
    <w:rsid w:val="00044BBD"/>
    <w:rsid w:val="00086A98"/>
    <w:rsid w:val="000A0C7B"/>
    <w:rsid w:val="000C3765"/>
    <w:rsid w:val="000E23C8"/>
    <w:rsid w:val="000E4E2C"/>
    <w:rsid w:val="001539BA"/>
    <w:rsid w:val="00193662"/>
    <w:rsid w:val="00207361"/>
    <w:rsid w:val="00222EC2"/>
    <w:rsid w:val="00242D52"/>
    <w:rsid w:val="0025599C"/>
    <w:rsid w:val="002C607E"/>
    <w:rsid w:val="002F3773"/>
    <w:rsid w:val="00327E7C"/>
    <w:rsid w:val="0033286C"/>
    <w:rsid w:val="00336CF7"/>
    <w:rsid w:val="0035246C"/>
    <w:rsid w:val="003774B2"/>
    <w:rsid w:val="003D7AC5"/>
    <w:rsid w:val="00422FB7"/>
    <w:rsid w:val="00453602"/>
    <w:rsid w:val="00470362"/>
    <w:rsid w:val="0048748A"/>
    <w:rsid w:val="004B5AB5"/>
    <w:rsid w:val="004E5176"/>
    <w:rsid w:val="004E6DE3"/>
    <w:rsid w:val="00524E97"/>
    <w:rsid w:val="005C2C44"/>
    <w:rsid w:val="006246DD"/>
    <w:rsid w:val="006725E3"/>
    <w:rsid w:val="00685685"/>
    <w:rsid w:val="006C3651"/>
    <w:rsid w:val="006F3D2F"/>
    <w:rsid w:val="00714921"/>
    <w:rsid w:val="00776C44"/>
    <w:rsid w:val="007C254A"/>
    <w:rsid w:val="007D1A24"/>
    <w:rsid w:val="007D31B5"/>
    <w:rsid w:val="008115A5"/>
    <w:rsid w:val="00821C4D"/>
    <w:rsid w:val="00827BC1"/>
    <w:rsid w:val="00852597"/>
    <w:rsid w:val="008539D8"/>
    <w:rsid w:val="00880054"/>
    <w:rsid w:val="00886601"/>
    <w:rsid w:val="00894DAB"/>
    <w:rsid w:val="008C6C81"/>
    <w:rsid w:val="008E7C38"/>
    <w:rsid w:val="008F360F"/>
    <w:rsid w:val="009615C9"/>
    <w:rsid w:val="009917DA"/>
    <w:rsid w:val="009B72B0"/>
    <w:rsid w:val="009E7E4B"/>
    <w:rsid w:val="009F7CBA"/>
    <w:rsid w:val="00A0401E"/>
    <w:rsid w:val="00A21F4C"/>
    <w:rsid w:val="00A26A59"/>
    <w:rsid w:val="00A94656"/>
    <w:rsid w:val="00AD3B0B"/>
    <w:rsid w:val="00BC7EDA"/>
    <w:rsid w:val="00C25A1C"/>
    <w:rsid w:val="00C44DA4"/>
    <w:rsid w:val="00C840D5"/>
    <w:rsid w:val="00D41AB6"/>
    <w:rsid w:val="00D5781E"/>
    <w:rsid w:val="00DB5C43"/>
    <w:rsid w:val="00E02B42"/>
    <w:rsid w:val="00E3242F"/>
    <w:rsid w:val="00E414B8"/>
    <w:rsid w:val="00E71AA3"/>
    <w:rsid w:val="00EB428D"/>
    <w:rsid w:val="00F556CC"/>
    <w:rsid w:val="00FB2798"/>
    <w:rsid w:val="00FB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6A85A"/>
  <w15:chartTrackingRefBased/>
  <w15:docId w15:val="{064CD03D-018E-45E9-9770-A5897D0C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33286C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27E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27E7C"/>
    <w:rPr>
      <w:b/>
      <w:bCs/>
    </w:rPr>
  </w:style>
  <w:style w:type="paragraph" w:styleId="a4">
    <w:name w:val="List Paragraph"/>
    <w:basedOn w:val="a"/>
    <w:uiPriority w:val="34"/>
    <w:qFormat/>
    <w:rsid w:val="00821C4D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E23C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E23C8"/>
    <w:rPr>
      <w:sz w:val="20"/>
      <w:szCs w:val="20"/>
    </w:rPr>
  </w:style>
  <w:style w:type="table" w:styleId="a9">
    <w:name w:val="Grid Table Light"/>
    <w:basedOn w:val="a1"/>
    <w:uiPriority w:val="40"/>
    <w:rsid w:val="00E414B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C840D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a">
    <w:name w:val="Table Grid"/>
    <w:basedOn w:val="a1"/>
    <w:uiPriority w:val="39"/>
    <w:rsid w:val="00332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0"/>
    <w:link w:val="3"/>
    <w:uiPriority w:val="9"/>
    <w:rsid w:val="0033286C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b">
    <w:name w:val="Hyperlink"/>
    <w:basedOn w:val="a0"/>
    <w:uiPriority w:val="99"/>
    <w:unhideWhenUsed/>
    <w:rsid w:val="00422FB7"/>
    <w:rPr>
      <w:color w:val="0563C1" w:themeColor="hyperlink"/>
      <w:u w:val="single"/>
    </w:rPr>
  </w:style>
  <w:style w:type="table" w:customStyle="1" w:styleId="1">
    <w:name w:val="表格格線1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格格線2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格格線4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12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111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Kuang-Jung</dc:creator>
  <cp:keywords/>
  <dc:description/>
  <cp:lastModifiedBy>doctor</cp:lastModifiedBy>
  <cp:revision>3</cp:revision>
  <cp:lastPrinted>2022-12-19T07:34:00Z</cp:lastPrinted>
  <dcterms:created xsi:type="dcterms:W3CDTF">2023-02-08T07:10:00Z</dcterms:created>
  <dcterms:modified xsi:type="dcterms:W3CDTF">2023-02-08T07:11:00Z</dcterms:modified>
</cp:coreProperties>
</file>