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Pr="00422FB7" w:rsidRDefault="00880054" w:rsidP="000E4E2C">
      <w:pPr>
        <w:jc w:val="center"/>
        <w:rPr>
          <w:rFonts w:ascii="標楷體" w:eastAsia="標楷體" w:hAnsi="標楷體" w:cs="Times New Roman"/>
          <w:color w:val="3366FF"/>
          <w:sz w:val="96"/>
          <w:szCs w:val="96"/>
        </w:rPr>
      </w:pPr>
      <w:r w:rsidRPr="00422FB7">
        <w:rPr>
          <w:rFonts w:ascii="標楷體" w:eastAsia="標楷體" w:hAnsi="標楷體"/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 w:rsidRPr="00422FB7">
        <w:rPr>
          <w:rFonts w:ascii="標楷體" w:eastAsia="標楷體" w:hAnsi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Pr="00422FB7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6E603F4C" w:rsidR="000E4E2C" w:rsidRPr="00422FB7" w:rsidRDefault="00880054" w:rsidP="00880054">
      <w:pPr>
        <w:jc w:val="right"/>
        <w:rPr>
          <w:rFonts w:ascii="標楷體" w:eastAsia="標楷體" w:hAnsi="標楷體"/>
          <w:b/>
          <w:bCs/>
          <w:color w:val="7030A0"/>
          <w:sz w:val="28"/>
          <w:szCs w:val="28"/>
        </w:rPr>
      </w:pPr>
      <w:r w:rsidRPr="00422FB7">
        <w:rPr>
          <w:rFonts w:ascii="標楷體" w:eastAsia="標楷體" w:hAnsi="標楷體"/>
          <w:b/>
          <w:bCs/>
          <w:color w:val="FF0000"/>
        </w:rPr>
        <w:tab/>
      </w:r>
      <w:r w:rsidRPr="00422FB7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 w:rsidRPr="00422FB7">
        <w:rPr>
          <w:rFonts w:ascii="標楷體" w:eastAsia="標楷體" w:hAnsi="標楷體" w:cs="標楷體" w:hint="eastAsia"/>
          <w:color w:val="FF0000"/>
          <w:sz w:val="40"/>
          <w:szCs w:val="40"/>
        </w:rPr>
        <w:t>期別</w:t>
      </w:r>
      <w:r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No.</w:t>
      </w:r>
      <w:r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1</w:t>
      </w:r>
      <w:r w:rsidR="00C840D5" w:rsidRPr="00422FB7">
        <w:rPr>
          <w:rFonts w:ascii="標楷體" w:eastAsia="標楷體" w:hAnsi="標楷體"/>
          <w:b/>
          <w:bCs/>
          <w:color w:val="7030A0"/>
          <w:sz w:val="28"/>
          <w:szCs w:val="28"/>
        </w:rPr>
        <w:t>1</w:t>
      </w:r>
      <w:r w:rsidR="00044BBD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2</w:t>
      </w:r>
      <w:r w:rsidR="00422FB7" w:rsidRPr="00422FB7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0</w:t>
      </w:r>
      <w:r w:rsidR="00862D0D">
        <w:rPr>
          <w:rFonts w:ascii="標楷體" w:eastAsia="標楷體" w:hAnsi="標楷體" w:hint="eastAsia"/>
          <w:b/>
          <w:bCs/>
          <w:color w:val="7030A0"/>
          <w:sz w:val="28"/>
          <w:szCs w:val="28"/>
        </w:rPr>
        <w:t>5</w:t>
      </w:r>
    </w:p>
    <w:p w14:paraId="7DC19381" w14:textId="77777777" w:rsidR="00880054" w:rsidRPr="00422FB7" w:rsidRDefault="00880054" w:rsidP="00327E7C">
      <w:pPr>
        <w:jc w:val="center"/>
        <w:rPr>
          <w:rFonts w:ascii="標楷體" w:eastAsia="標楷體" w:hAnsi="標楷體" w:cs="Times New Roman"/>
          <w:b/>
          <w:bCs/>
          <w:color w:val="FF0000"/>
        </w:rPr>
      </w:pPr>
    </w:p>
    <w:p w14:paraId="45A840FB" w14:textId="77777777" w:rsidR="00862D0D" w:rsidRPr="00862D0D" w:rsidRDefault="00862D0D" w:rsidP="00862D0D">
      <w:pPr>
        <w:jc w:val="center"/>
        <w:rPr>
          <w:rFonts w:ascii="標楷體" w:eastAsia="標楷體" w:hAnsi="標楷體"/>
          <w:b/>
          <w:color w:val="FF0000"/>
          <w:sz w:val="36"/>
          <w:szCs w:val="36"/>
        </w:rPr>
      </w:pPr>
      <w:r w:rsidRPr="00862D0D">
        <w:rPr>
          <w:rFonts w:ascii="標楷體" w:eastAsia="標楷體" w:hAnsi="標楷體" w:hint="eastAsia"/>
          <w:b/>
          <w:color w:val="FF0000"/>
          <w:sz w:val="36"/>
          <w:szCs w:val="36"/>
        </w:rPr>
        <w:t xml:space="preserve">猴痘疫苗 </w:t>
      </w:r>
      <w:r w:rsidRPr="00862D0D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JYNNEOS®</w:t>
      </w:r>
    </w:p>
    <w:p w14:paraId="3B2B222C" w14:textId="0B8F3EC2" w:rsidR="00327E7C" w:rsidRPr="00862D0D" w:rsidRDefault="00862D0D" w:rsidP="00862D0D">
      <w:pPr>
        <w:jc w:val="center"/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 w:hint="eastAsia"/>
          <w:sz w:val="28"/>
          <w:szCs w:val="28"/>
        </w:rPr>
        <w:t>董晏豪</w:t>
      </w:r>
      <w:r w:rsidR="00E8463B" w:rsidRPr="00862D0D">
        <w:rPr>
          <w:rFonts w:ascii="標楷體" w:eastAsia="標楷體" w:hAnsi="標楷體" w:cs="Arial" w:hint="eastAsia"/>
          <w:b/>
          <w:bCs/>
          <w:color w:val="000000" w:themeColor="text1"/>
          <w:spacing w:val="12"/>
          <w:sz w:val="28"/>
          <w:szCs w:val="28"/>
        </w:rPr>
        <w:t xml:space="preserve"> </w:t>
      </w:r>
      <w:r w:rsidR="00A94656" w:rsidRPr="00862D0D">
        <w:rPr>
          <w:rFonts w:ascii="標楷體" w:eastAsia="標楷體" w:hAnsi="標楷體" w:hint="eastAsia"/>
          <w:sz w:val="28"/>
          <w:szCs w:val="28"/>
        </w:rPr>
        <w:t>藥師</w:t>
      </w:r>
    </w:p>
    <w:p w14:paraId="28DA5821" w14:textId="77777777" w:rsidR="00862D0D" w:rsidRPr="00862D0D" w:rsidRDefault="00862D0D" w:rsidP="00862D0D">
      <w:pPr>
        <w:rPr>
          <w:rFonts w:ascii="標楷體" w:eastAsia="標楷體" w:hAnsi="標楷體"/>
          <w:b/>
          <w:bCs/>
          <w:sz w:val="28"/>
          <w:szCs w:val="28"/>
        </w:rPr>
      </w:pPr>
      <w:r w:rsidRPr="00862D0D">
        <w:rPr>
          <w:rFonts w:ascii="標楷體" w:eastAsia="標楷體" w:hAnsi="標楷體" w:hint="eastAsia"/>
          <w:b/>
          <w:bCs/>
          <w:sz w:val="28"/>
          <w:szCs w:val="28"/>
        </w:rPr>
        <w:t>疫苗簡介：</w:t>
      </w:r>
    </w:p>
    <w:p w14:paraId="5B73A6C1" w14:textId="77777777" w:rsidR="00862D0D" w:rsidRPr="00862D0D" w:rsidRDefault="00862D0D" w:rsidP="00862D0D">
      <w:pPr>
        <w:jc w:val="both"/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 w:hint="eastAsia"/>
          <w:sz w:val="28"/>
          <w:szCs w:val="28"/>
        </w:rPr>
        <w:t xml:space="preserve">我國儲備之猴痘疫苗 </w:t>
      </w:r>
      <w:r w:rsidRPr="00862D0D">
        <w:rPr>
          <w:rFonts w:ascii="Times New Roman" w:eastAsia="標楷體" w:hAnsi="Times New Roman" w:cs="Times New Roman"/>
          <w:sz w:val="28"/>
          <w:szCs w:val="28"/>
        </w:rPr>
        <w:t>JYNNEOS®</w:t>
      </w:r>
      <w:r w:rsidRPr="00862D0D">
        <w:rPr>
          <w:rFonts w:ascii="Times New Roman" w:eastAsia="標楷體" w:hAnsi="Times New Roman" w:cs="Times New Roman"/>
          <w:sz w:val="28"/>
          <w:szCs w:val="28"/>
        </w:rPr>
        <w:t>，</w:t>
      </w:r>
      <w:r w:rsidRPr="00862D0D">
        <w:rPr>
          <w:rFonts w:ascii="標楷體" w:eastAsia="標楷體" w:hAnsi="標楷體" w:hint="eastAsia"/>
          <w:sz w:val="28"/>
          <w:szCs w:val="28"/>
        </w:rPr>
        <w:t xml:space="preserve">為丹麥 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Bavarian Nordic A/S </w:t>
      </w:r>
      <w:r w:rsidRPr="00862D0D">
        <w:rPr>
          <w:rFonts w:ascii="標楷體" w:eastAsia="標楷體" w:hAnsi="標楷體" w:hint="eastAsia"/>
          <w:sz w:val="28"/>
          <w:szCs w:val="28"/>
        </w:rPr>
        <w:t>公 司 產 製 之 減 毒 活 性 非 複 製 型 疫 苗 (</w:t>
      </w:r>
      <w:r w:rsidRPr="00862D0D">
        <w:rPr>
          <w:rFonts w:ascii="Times New Roman" w:eastAsia="標楷體" w:hAnsi="Times New Roman" w:cs="Times New Roman"/>
          <w:sz w:val="28"/>
          <w:szCs w:val="28"/>
        </w:rPr>
        <w:t>live-attenuated,non-replicating</w:t>
      </w:r>
      <w:r w:rsidRPr="00862D0D">
        <w:rPr>
          <w:rFonts w:ascii="標楷體" w:eastAsia="標楷體" w:hAnsi="標楷體" w:hint="eastAsia"/>
          <w:sz w:val="28"/>
          <w:szCs w:val="28"/>
        </w:rPr>
        <w:t xml:space="preserve">) ，是第一個獲准用於預防猴痘的疫苗。為單劑型包裝，每瓶 </w:t>
      </w:r>
      <w:r w:rsidRPr="00862D0D">
        <w:rPr>
          <w:rFonts w:ascii="Times New Roman" w:eastAsia="標楷體" w:hAnsi="Times New Roman" w:cs="Times New Roman"/>
          <w:sz w:val="28"/>
          <w:szCs w:val="28"/>
        </w:rPr>
        <w:t>0.5mL</w:t>
      </w:r>
      <w:r w:rsidRPr="00862D0D">
        <w:rPr>
          <w:rFonts w:ascii="標楷體" w:eastAsia="標楷體" w:hAnsi="標楷體" w:hint="eastAsia"/>
          <w:sz w:val="28"/>
          <w:szCs w:val="28"/>
        </w:rPr>
        <w:t xml:space="preserve"> 含有 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0.5 x 108 IU </w:t>
      </w:r>
      <w:r w:rsidRPr="00862D0D">
        <w:rPr>
          <w:rFonts w:ascii="標楷體" w:eastAsia="標楷體" w:hAnsi="標楷體" w:hint="eastAsia"/>
          <w:sz w:val="28"/>
          <w:szCs w:val="28"/>
        </w:rPr>
        <w:t xml:space="preserve">至 </w:t>
      </w:r>
      <w:r w:rsidRPr="00862D0D">
        <w:rPr>
          <w:rFonts w:ascii="Times New Roman" w:eastAsia="標楷體" w:hAnsi="Times New Roman" w:cs="Times New Roman"/>
          <w:sz w:val="28"/>
          <w:szCs w:val="28"/>
        </w:rPr>
        <w:t>3.95x 108 IU</w:t>
      </w:r>
      <w:r w:rsidRPr="00862D0D">
        <w:rPr>
          <w:rFonts w:ascii="標楷體" w:eastAsia="標楷體" w:hAnsi="標楷體" w:hint="eastAsia"/>
          <w:sz w:val="28"/>
          <w:szCs w:val="28"/>
        </w:rPr>
        <w:t xml:space="preserve"> 非複製型經修飾之牛痘病毒</w:t>
      </w:r>
      <w:r w:rsidRPr="00862D0D">
        <w:rPr>
          <w:rFonts w:ascii="Times New Roman" w:eastAsia="標楷體" w:hAnsi="Times New Roman" w:cs="Times New Roman"/>
          <w:sz w:val="28"/>
          <w:szCs w:val="28"/>
        </w:rPr>
        <w:t>(non-replicating, live Modified Vaccinia Virus Ankara – Bavarian Nordic)</w:t>
      </w:r>
      <w:r w:rsidRPr="00862D0D">
        <w:rPr>
          <w:rFonts w:ascii="標楷體" w:eastAsia="標楷體" w:hAnsi="標楷體" w:hint="eastAsia"/>
          <w:sz w:val="28"/>
          <w:szCs w:val="28"/>
        </w:rPr>
        <w:t>。</w:t>
      </w:r>
    </w:p>
    <w:p w14:paraId="7ED11FDD" w14:textId="77777777" w:rsidR="00862D0D" w:rsidRPr="00862D0D" w:rsidRDefault="00862D0D" w:rsidP="00862D0D">
      <w:pPr>
        <w:rPr>
          <w:rFonts w:ascii="標楷體" w:eastAsia="標楷體" w:hAnsi="標楷體"/>
          <w:b/>
          <w:bCs/>
          <w:sz w:val="28"/>
          <w:szCs w:val="28"/>
        </w:rPr>
      </w:pPr>
      <w:r w:rsidRPr="00862D0D">
        <w:rPr>
          <w:rFonts w:ascii="標楷體" w:eastAsia="標楷體" w:hAnsi="標楷體"/>
          <w:b/>
          <w:bCs/>
          <w:sz w:val="28"/>
          <w:szCs w:val="28"/>
        </w:rPr>
        <w:t>副作用：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862D0D" w:rsidRPr="00862D0D" w14:paraId="2CB8F277" w14:textId="77777777" w:rsidTr="00684949">
        <w:tc>
          <w:tcPr>
            <w:tcW w:w="1980" w:type="dxa"/>
          </w:tcPr>
          <w:p w14:paraId="37C054C0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(一) 在未曾接種第一代天花疫苗族群，可能發生副作用如下：</w:t>
            </w:r>
          </w:p>
        </w:tc>
        <w:tc>
          <w:tcPr>
            <w:tcW w:w="6316" w:type="dxa"/>
          </w:tcPr>
          <w:p w14:paraId="68802024" w14:textId="77777777" w:rsidR="00862D0D" w:rsidRPr="00862D0D" w:rsidRDefault="00862D0D" w:rsidP="0068494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1. 注射部位反應: 疼痛(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85%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)、發紅(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61%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)、腫脹(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52%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)、硬塊(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45%)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和搔癢(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43%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)等。 </w:t>
            </w:r>
          </w:p>
          <w:p w14:paraId="165DEF7B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2. 全身性反應：肌肉疼痛(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43%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)、頭痛(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35%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)、疲倦(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30%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)、噁心 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17%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)、發冷(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10%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)等。</w:t>
            </w:r>
          </w:p>
        </w:tc>
      </w:tr>
      <w:tr w:rsidR="00862D0D" w:rsidRPr="00862D0D" w14:paraId="3B61C61A" w14:textId="77777777" w:rsidTr="00684949">
        <w:tc>
          <w:tcPr>
            <w:tcW w:w="1980" w:type="dxa"/>
          </w:tcPr>
          <w:p w14:paraId="4E3A7C39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(二) 曾接種第一代天花疫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>苗族群，可能發生副作用如下：</w:t>
            </w:r>
          </w:p>
        </w:tc>
        <w:tc>
          <w:tcPr>
            <w:tcW w:w="6316" w:type="dxa"/>
          </w:tcPr>
          <w:p w14:paraId="34BC6B01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>1. 注射部位反應: 發紅(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81%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)、疼痛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(80%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)、硬塊(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70%)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、腫脹(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67%)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和搔癢(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32%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)等。 2. 全身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>性反應：疲倦(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34%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)、頭痛(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28%)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、肌肉疼痛(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22%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)等。</w:t>
            </w:r>
          </w:p>
        </w:tc>
      </w:tr>
      <w:tr w:rsidR="00862D0D" w:rsidRPr="00862D0D" w14:paraId="0C7643B1" w14:textId="77777777" w:rsidTr="00684949">
        <w:tc>
          <w:tcPr>
            <w:tcW w:w="1980" w:type="dxa"/>
          </w:tcPr>
          <w:p w14:paraId="30F9AAE3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>(三) 皮內接種的局部副作用：</w:t>
            </w:r>
          </w:p>
        </w:tc>
        <w:tc>
          <w:tcPr>
            <w:tcW w:w="6316" w:type="dxa"/>
          </w:tcPr>
          <w:p w14:paraId="751D9F54" w14:textId="77777777" w:rsidR="00862D0D" w:rsidRPr="00862D0D" w:rsidRDefault="00862D0D" w:rsidP="00684949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皮內接種的局部副作用可能比皮下接種更明顯，可能會出現輕度的 色素沉澱反應持續數週或數月後逐漸消退，副作用的嚴重程度和持 續時間因人而異，但均屬疫苗接種後的正常免疫反應。</w:t>
            </w:r>
          </w:p>
        </w:tc>
      </w:tr>
    </w:tbl>
    <w:p w14:paraId="300F9F9D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b/>
          <w:bCs/>
          <w:sz w:val="28"/>
          <w:szCs w:val="28"/>
        </w:rPr>
        <w:t>疫苗接種禁忌與接種前注意事項</w:t>
      </w:r>
      <w:r w:rsidRPr="00862D0D">
        <w:rPr>
          <w:rFonts w:ascii="標楷體" w:eastAsia="標楷體" w:hAnsi="標楷體"/>
          <w:sz w:val="28"/>
          <w:szCs w:val="28"/>
        </w:rPr>
        <w:t xml:space="preserve"> </w:t>
      </w:r>
      <w:r w:rsidRPr="00862D0D">
        <w:rPr>
          <w:rFonts w:ascii="標楷體" w:eastAsia="標楷體" w:hAnsi="標楷體" w:hint="eastAsia"/>
          <w:sz w:val="28"/>
          <w:szCs w:val="28"/>
        </w:rPr>
        <w:t>：</w:t>
      </w:r>
    </w:p>
    <w:p w14:paraId="626B1A5B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(一) 對疫苗成分過敏者 。</w:t>
      </w:r>
    </w:p>
    <w:p w14:paraId="41DF0A79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(二) 須注意注射後可能發生之過敏性休克。</w:t>
      </w:r>
    </w:p>
    <w:p w14:paraId="24A18FA3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(三) 免疫低下或接受免疫抑制劑治療者，對疫苗免疫反應可能較差。</w:t>
      </w:r>
    </w:p>
    <w:p w14:paraId="65102539" w14:textId="2C183770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 xml:space="preserve">(四) 猴痘疫苗屬非複製型活性減毒疫苗，原則可視為非活性疫苗，可與 </w:t>
      </w:r>
      <w:r>
        <w:rPr>
          <w:rFonts w:ascii="標楷體" w:eastAsia="標楷體" w:hAnsi="標楷體"/>
          <w:sz w:val="28"/>
          <w:szCs w:val="28"/>
        </w:rPr>
        <w:t>其他非活性或活性疫苗同時接種，或間隔任何時間接種。另</w:t>
      </w:r>
      <w:r w:rsidRPr="00862D0D">
        <w:rPr>
          <w:rFonts w:ascii="標楷體" w:eastAsia="標楷體" w:hAnsi="標楷體"/>
          <w:sz w:val="28"/>
          <w:szCs w:val="28"/>
        </w:rPr>
        <w:t xml:space="preserve">對於接種 </w:t>
      </w:r>
      <w:r w:rsidRPr="00862D0D">
        <w:rPr>
          <w:rFonts w:ascii="Times New Roman" w:eastAsia="標楷體" w:hAnsi="Times New Roman" w:cs="Times New Roman"/>
          <w:sz w:val="28"/>
          <w:szCs w:val="28"/>
        </w:rPr>
        <w:t>COVID-19</w:t>
      </w:r>
      <w:r w:rsidRPr="00862D0D">
        <w:rPr>
          <w:rFonts w:ascii="標楷體" w:eastAsia="標楷體" w:hAnsi="標楷體"/>
          <w:sz w:val="28"/>
          <w:szCs w:val="28"/>
        </w:rPr>
        <w:t xml:space="preserve"> 疫苗有較高風險發生心肌炎的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 12-39</w:t>
      </w:r>
      <w:r w:rsidRPr="00862D0D">
        <w:rPr>
          <w:rFonts w:ascii="標楷體" w:eastAsia="標楷體" w:hAnsi="標楷體"/>
          <w:sz w:val="28"/>
          <w:szCs w:val="28"/>
        </w:rPr>
        <w:t xml:space="preserve"> 歲男性，可以 考慮在疫苗接種後，等待 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4 </w:t>
      </w:r>
      <w:r w:rsidRPr="00862D0D">
        <w:rPr>
          <w:rFonts w:ascii="標楷體" w:eastAsia="標楷體" w:hAnsi="標楷體"/>
          <w:sz w:val="28"/>
          <w:szCs w:val="28"/>
        </w:rPr>
        <w:t>週，再接種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 COVID-19 </w:t>
      </w:r>
      <w:r w:rsidRPr="00862D0D">
        <w:rPr>
          <w:rFonts w:ascii="標楷體" w:eastAsia="標楷體" w:hAnsi="標楷體"/>
          <w:sz w:val="28"/>
          <w:szCs w:val="28"/>
        </w:rPr>
        <w:t>疫苗；倘有暴露</w:t>
      </w:r>
      <w:r w:rsidRPr="00862D0D">
        <w:rPr>
          <w:rFonts w:ascii="Times New Roman" w:eastAsia="標楷體" w:hAnsi="Times New Roman" w:cs="Times New Roman"/>
          <w:sz w:val="28"/>
          <w:szCs w:val="28"/>
        </w:rPr>
        <w:t xml:space="preserve"> 4 </w:t>
      </w:r>
      <w:r w:rsidRPr="00862D0D">
        <w:rPr>
          <w:rFonts w:ascii="標楷體" w:eastAsia="標楷體" w:hAnsi="標楷體"/>
          <w:sz w:val="28"/>
          <w:szCs w:val="28"/>
        </w:rPr>
        <w:t>後接種(</w:t>
      </w:r>
      <w:r w:rsidRPr="00862D0D">
        <w:rPr>
          <w:rFonts w:ascii="Times New Roman" w:eastAsia="標楷體" w:hAnsi="Times New Roman" w:cs="Times New Roman"/>
          <w:sz w:val="28"/>
          <w:szCs w:val="28"/>
        </w:rPr>
        <w:t>PEP</w:t>
      </w:r>
      <w:r w:rsidRPr="00862D0D">
        <w:rPr>
          <w:rFonts w:ascii="標楷體" w:eastAsia="標楷體" w:hAnsi="標楷體"/>
          <w:sz w:val="28"/>
          <w:szCs w:val="28"/>
        </w:rPr>
        <w:t>)之急迫性，建議不須因此延後猴痘疫苗之接種。</w:t>
      </w:r>
    </w:p>
    <w:p w14:paraId="3770E0B6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b/>
          <w:bCs/>
          <w:sz w:val="28"/>
          <w:szCs w:val="28"/>
        </w:rPr>
        <w:t>接種後注意事項</w:t>
      </w:r>
      <w:r w:rsidRPr="00862D0D">
        <w:rPr>
          <w:rFonts w:ascii="標楷體" w:eastAsia="標楷體" w:hAnsi="標楷體"/>
          <w:sz w:val="28"/>
          <w:szCs w:val="28"/>
        </w:rPr>
        <w:t xml:space="preserve"> </w:t>
      </w:r>
      <w:r w:rsidRPr="00862D0D">
        <w:rPr>
          <w:rFonts w:ascii="標楷體" w:eastAsia="標楷體" w:hAnsi="標楷體" w:hint="eastAsia"/>
          <w:sz w:val="28"/>
          <w:szCs w:val="28"/>
        </w:rPr>
        <w:t>：</w:t>
      </w:r>
    </w:p>
    <w:p w14:paraId="00697A44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 xml:space="preserve">(一) 為預防並即時處理接種後發生率極低的立即型嚴重過敏反應，民眾 接種後應於接種單位或附近稍做休息，並觀察至少 15 分鐘，無恙後 再離開。 </w:t>
      </w:r>
    </w:p>
    <w:p w14:paraId="69843581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lastRenderedPageBreak/>
        <w:t xml:space="preserve">(二) 嚴重疫苗不良事件： </w:t>
      </w:r>
    </w:p>
    <w:p w14:paraId="1005758D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 xml:space="preserve">1. 民眾接種後如有持續發燒、嚴重過敏反應如呼吸困難、氣喘、眩昏、 心跳加速等不適症狀，應請其儘速就醫，並告知醫師曾接種本疫 苗、疫苗接種時間、相關症狀、症狀發生時間，以做為診斷參考。 </w:t>
      </w:r>
    </w:p>
    <w:p w14:paraId="3C7B625D" w14:textId="77777777" w:rsidR="00862D0D" w:rsidRPr="00862D0D" w:rsidRDefault="00862D0D" w:rsidP="00862D0D">
      <w:pPr>
        <w:rPr>
          <w:rFonts w:ascii="標楷體" w:eastAsia="標楷體" w:hAnsi="標楷體"/>
          <w:b/>
          <w:bCs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2. 接種後，若發現有接種後嚴重不良事件之個案發生時，依嚴重疫苗 不良事件通報與因應流程(至「疫苗不良事件通報系統 (</w:t>
      </w:r>
      <w:r w:rsidRPr="00862D0D">
        <w:rPr>
          <w:rFonts w:ascii="Times New Roman" w:eastAsia="標楷體" w:hAnsi="Times New Roman" w:cs="Times New Roman"/>
          <w:sz w:val="28"/>
          <w:szCs w:val="28"/>
        </w:rPr>
        <w:t>VAERS</w:t>
      </w:r>
      <w:r w:rsidRPr="00862D0D">
        <w:rPr>
          <w:rFonts w:ascii="標楷體" w:eastAsia="標楷體" w:hAnsi="標楷體"/>
          <w:sz w:val="28"/>
          <w:szCs w:val="28"/>
        </w:rPr>
        <w:t>)」(</w:t>
      </w:r>
      <w:r w:rsidRPr="00862D0D">
        <w:rPr>
          <w:rFonts w:ascii="Times New Roman" w:eastAsia="標楷體" w:hAnsi="Times New Roman" w:cs="Times New Roman"/>
          <w:sz w:val="28"/>
          <w:szCs w:val="28"/>
        </w:rPr>
        <w:t>https://vaers.cdc.gov.tw/</w:t>
      </w:r>
      <w:r w:rsidRPr="00862D0D">
        <w:rPr>
          <w:rFonts w:ascii="標楷體" w:eastAsia="標楷體" w:hAnsi="標楷體"/>
          <w:sz w:val="28"/>
          <w:szCs w:val="28"/>
        </w:rPr>
        <w:t>)通報，並由縣市衛生局(所) 進行後續追蹤關懷作業。</w:t>
      </w:r>
    </w:p>
    <w:p w14:paraId="64794FD7" w14:textId="77777777" w:rsidR="00862D0D" w:rsidRPr="00862D0D" w:rsidRDefault="00862D0D" w:rsidP="00862D0D">
      <w:pPr>
        <w:rPr>
          <w:rFonts w:ascii="標楷體" w:eastAsia="標楷體" w:hAnsi="標楷體"/>
          <w:b/>
          <w:bCs/>
          <w:sz w:val="28"/>
          <w:szCs w:val="28"/>
        </w:rPr>
      </w:pPr>
      <w:r w:rsidRPr="00862D0D">
        <w:rPr>
          <w:rFonts w:ascii="標楷體" w:eastAsia="標楷體" w:hAnsi="標楷體" w:hint="eastAsia"/>
          <w:b/>
          <w:bCs/>
          <w:sz w:val="28"/>
          <w:szCs w:val="28"/>
        </w:rPr>
        <w:t>接種時機、方式、劑量與間隔：</w:t>
      </w:r>
    </w:p>
    <w:p w14:paraId="1CF8E4F1" w14:textId="77777777" w:rsidR="00862D0D" w:rsidRPr="00862D0D" w:rsidRDefault="00862D0D" w:rsidP="00862D0D">
      <w:pPr>
        <w:pStyle w:val="a4"/>
        <w:numPr>
          <w:ilvl w:val="0"/>
          <w:numId w:val="35"/>
        </w:numPr>
        <w:ind w:leftChars="0"/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接種時機：</w:t>
      </w:r>
    </w:p>
    <w:tbl>
      <w:tblPr>
        <w:tblStyle w:val="aa"/>
        <w:tblW w:w="0" w:type="auto"/>
        <w:tblInd w:w="480" w:type="dxa"/>
        <w:tblLook w:val="04A0" w:firstRow="1" w:lastRow="0" w:firstColumn="1" w:lastColumn="0" w:noHBand="0" w:noVBand="1"/>
      </w:tblPr>
      <w:tblGrid>
        <w:gridCol w:w="4148"/>
        <w:gridCol w:w="4148"/>
      </w:tblGrid>
      <w:tr w:rsidR="00862D0D" w:rsidRPr="00862D0D" w14:paraId="6CA5EAE8" w14:textId="77777777" w:rsidTr="00684949">
        <w:tc>
          <w:tcPr>
            <w:tcW w:w="4148" w:type="dxa"/>
          </w:tcPr>
          <w:p w14:paraId="1373B25E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暴露前預防(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PrEP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)：</w:t>
            </w:r>
          </w:p>
        </w:tc>
        <w:tc>
          <w:tcPr>
            <w:tcW w:w="4148" w:type="dxa"/>
          </w:tcPr>
          <w:p w14:paraId="588E7832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暴露後預防(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PEP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)：</w:t>
            </w:r>
          </w:p>
        </w:tc>
      </w:tr>
      <w:tr w:rsidR="00862D0D" w:rsidRPr="00862D0D" w14:paraId="157F2593" w14:textId="77777777" w:rsidTr="00684949">
        <w:tc>
          <w:tcPr>
            <w:tcW w:w="4148" w:type="dxa"/>
          </w:tcPr>
          <w:p w14:paraId="3431B0D5" w14:textId="6B3D47A1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符合接種對象，且無出現疑似感染猴痘症狀，可進行接種。如為感染猴痘確診個案的高風險接觸者，且未曾接種過暴露後預防(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PEP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)疫苗者，若無出現疑似猴痘感染症狀，可進行疫苗接種。</w:t>
            </w:r>
          </w:p>
        </w:tc>
        <w:tc>
          <w:tcPr>
            <w:tcW w:w="4148" w:type="dxa"/>
          </w:tcPr>
          <w:p w14:paraId="71599A3E" w14:textId="718A98E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高風險接觸者應在最後一次暴露後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4 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天內儘速接種，以達最佳預防效果。若在暴露後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4 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至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14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天內接種，則可能無法預防發病，但可降低疾病嚴重程度。已出現猴痘症狀，則不建議接種。</w:t>
            </w:r>
          </w:p>
        </w:tc>
      </w:tr>
    </w:tbl>
    <w:p w14:paraId="49D1455A" w14:textId="77777777" w:rsidR="00862D0D" w:rsidRPr="00862D0D" w:rsidRDefault="00862D0D" w:rsidP="00862D0D">
      <w:pPr>
        <w:pStyle w:val="a4"/>
        <w:numPr>
          <w:ilvl w:val="0"/>
          <w:numId w:val="35"/>
        </w:numPr>
        <w:ind w:leftChars="0"/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接種方式、劑量與間隔：</w:t>
      </w:r>
    </w:p>
    <w:tbl>
      <w:tblPr>
        <w:tblStyle w:val="aa"/>
        <w:tblW w:w="0" w:type="auto"/>
        <w:tblInd w:w="480" w:type="dxa"/>
        <w:tblLook w:val="04A0" w:firstRow="1" w:lastRow="0" w:firstColumn="1" w:lastColumn="0" w:noHBand="0" w:noVBand="1"/>
      </w:tblPr>
      <w:tblGrid>
        <w:gridCol w:w="1968"/>
        <w:gridCol w:w="1968"/>
      </w:tblGrid>
      <w:tr w:rsidR="00862D0D" w:rsidRPr="00862D0D" w14:paraId="49586403" w14:textId="77777777" w:rsidTr="00684949">
        <w:tc>
          <w:tcPr>
            <w:tcW w:w="1968" w:type="dxa"/>
          </w:tcPr>
          <w:p w14:paraId="7C5E7C70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(一)皮內接種</w:t>
            </w:r>
          </w:p>
        </w:tc>
        <w:tc>
          <w:tcPr>
            <w:tcW w:w="1968" w:type="dxa"/>
          </w:tcPr>
          <w:p w14:paraId="4FD8C05C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(二)皮下接種</w:t>
            </w:r>
          </w:p>
        </w:tc>
      </w:tr>
      <w:tr w:rsidR="00862D0D" w:rsidRPr="00862D0D" w14:paraId="67A7A5EF" w14:textId="77777777" w:rsidTr="00684949">
        <w:tc>
          <w:tcPr>
            <w:tcW w:w="1968" w:type="dxa"/>
          </w:tcPr>
          <w:p w14:paraId="5F0191B8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接種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劑，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 xml:space="preserve">每劑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0.1mL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，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劑間隔須至少達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週以上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1968" w:type="dxa"/>
          </w:tcPr>
          <w:p w14:paraId="5A401662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 xml:space="preserve">接種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劑，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lastRenderedPageBreak/>
              <w:t>每劑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0.5mL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，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劑間隔須至少達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週以上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</w:tbl>
    <w:p w14:paraId="2595B717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</w:p>
    <w:p w14:paraId="7B9DAB18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</w:p>
    <w:tbl>
      <w:tblPr>
        <w:tblStyle w:val="aa"/>
        <w:tblW w:w="7879" w:type="dxa"/>
        <w:tblInd w:w="480" w:type="dxa"/>
        <w:tblLook w:val="04A0" w:firstRow="1" w:lastRow="0" w:firstColumn="1" w:lastColumn="0" w:noHBand="0" w:noVBand="1"/>
      </w:tblPr>
      <w:tblGrid>
        <w:gridCol w:w="1925"/>
        <w:gridCol w:w="5954"/>
      </w:tblGrid>
      <w:tr w:rsidR="00862D0D" w:rsidRPr="00862D0D" w14:paraId="6F33FB2F" w14:textId="77777777" w:rsidTr="00684949">
        <w:tc>
          <w:tcPr>
            <w:tcW w:w="1925" w:type="dxa"/>
          </w:tcPr>
          <w:p w14:paraId="6AB9AB55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在疫苗有限情況下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  <w:tc>
          <w:tcPr>
            <w:tcW w:w="5954" w:type="dxa"/>
          </w:tcPr>
          <w:p w14:paraId="6FEEC035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1.) 18 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歲以上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PrEP 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>及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PEP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接種對象優先 以皮內方式接種，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PrEP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接種對象先以接種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劑為原則。</w:t>
            </w:r>
          </w:p>
          <w:p w14:paraId="35509369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2.)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在疫苗有限情況下，曾接種天花疫苗者，以接種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862D0D">
              <w:rPr>
                <w:rFonts w:ascii="標楷體" w:eastAsia="標楷體" w:hAnsi="標楷體"/>
                <w:sz w:val="28"/>
                <w:szCs w:val="28"/>
              </w:rPr>
              <w:t xml:space="preserve"> 劑為原則。</w:t>
            </w:r>
          </w:p>
        </w:tc>
      </w:tr>
      <w:tr w:rsidR="00862D0D" w:rsidRPr="00862D0D" w14:paraId="24684766" w14:textId="77777777" w:rsidTr="00684949">
        <w:tc>
          <w:tcPr>
            <w:tcW w:w="1925" w:type="dxa"/>
          </w:tcPr>
          <w:p w14:paraId="38382453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/>
                <w:sz w:val="28"/>
                <w:szCs w:val="28"/>
              </w:rPr>
              <w:t>2 劑接種方式可不限於相同接種方式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  <w:tc>
          <w:tcPr>
            <w:tcW w:w="5954" w:type="dxa"/>
          </w:tcPr>
          <w:p w14:paraId="5CD64D81" w14:textId="77777777" w:rsidR="00862D0D" w:rsidRPr="00862D0D" w:rsidRDefault="00862D0D" w:rsidP="00684949">
            <w:pPr>
              <w:pStyle w:val="a4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 xml:space="preserve">例如：第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 xml:space="preserve"> 劑若以皮內接種， 第 </w:t>
            </w:r>
            <w:r w:rsidRPr="00862D0D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862D0D">
              <w:rPr>
                <w:rFonts w:ascii="標楷體" w:eastAsia="標楷體" w:hAnsi="標楷體" w:hint="eastAsia"/>
                <w:sz w:val="28"/>
                <w:szCs w:val="28"/>
              </w:rPr>
              <w:t xml:space="preserve"> 劑可不限於皮內接種，可採皮內或皮下接種。</w:t>
            </w:r>
          </w:p>
        </w:tc>
      </w:tr>
    </w:tbl>
    <w:p w14:paraId="4F87DF5B" w14:textId="77777777" w:rsidR="00862D0D" w:rsidRPr="00862D0D" w:rsidRDefault="00862D0D" w:rsidP="00862D0D">
      <w:pPr>
        <w:pStyle w:val="a4"/>
        <w:ind w:leftChars="0"/>
        <w:rPr>
          <w:rFonts w:ascii="標楷體" w:eastAsia="標楷體" w:hAnsi="標楷體"/>
          <w:sz w:val="28"/>
          <w:szCs w:val="28"/>
        </w:rPr>
      </w:pPr>
    </w:p>
    <w:p w14:paraId="2A9094F4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color w:val="FF0000"/>
          <w:sz w:val="28"/>
          <w:szCs w:val="28"/>
        </w:rPr>
        <w:t>*注意事項：未滿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 xml:space="preserve"> 18 </w:t>
      </w:r>
      <w:r w:rsidRPr="00862D0D">
        <w:rPr>
          <w:rFonts w:ascii="標楷體" w:eastAsia="標楷體" w:hAnsi="標楷體"/>
          <w:color w:val="FF0000"/>
          <w:sz w:val="28"/>
          <w:szCs w:val="28"/>
        </w:rPr>
        <w:t>歲族群，或具蟹足腫病史者，或嚴重免疫不全者**，不適 用皮內注射，應採皮下接種 **嚴重免疫不全者，包括：晚期或控制不佳的愛滋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(HIV)</w:t>
      </w:r>
      <w:r w:rsidRPr="00862D0D">
        <w:rPr>
          <w:rFonts w:ascii="標楷體" w:eastAsia="標楷體" w:hAnsi="標楷體"/>
          <w:color w:val="FF0000"/>
          <w:sz w:val="28"/>
          <w:szCs w:val="28"/>
        </w:rPr>
        <w:t>感染者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(HIV</w:t>
      </w:r>
      <w:r w:rsidRPr="00862D0D">
        <w:rPr>
          <w:rFonts w:ascii="標楷體" w:eastAsia="標楷體" w:hAnsi="標楷體"/>
          <w:color w:val="FF0000"/>
          <w:sz w:val="28"/>
          <w:szCs w:val="28"/>
        </w:rPr>
        <w:t xml:space="preserve"> 感染且 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CD4&lt;200 cells/mm3</w:t>
      </w:r>
      <w:r w:rsidRPr="00862D0D">
        <w:rPr>
          <w:rFonts w:ascii="標楷體" w:eastAsia="標楷體" w:hAnsi="標楷體"/>
          <w:color w:val="FF0000"/>
          <w:sz w:val="28"/>
          <w:szCs w:val="28"/>
        </w:rPr>
        <w:t>)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 xml:space="preserve"> 、白血病、淋巴瘤、全身性惡性腫瘤、放療、器官移植；使用烷化劑(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alkylating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 xml:space="preserve"> 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agents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>)、抗代謝藥(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antimetabolites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>)、腫瘤壞死因子抑製劑或高劑量皮質類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lastRenderedPageBreak/>
        <w:t xml:space="preserve">固醇治療；造血幹細胞移植接受者在移植術後 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24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 xml:space="preserve"> 個月內，或術後 </w:t>
      </w:r>
      <w:r w:rsidRPr="00862D0D">
        <w:rPr>
          <w:rFonts w:ascii="Times New Roman" w:eastAsia="標楷體" w:hAnsi="Times New Roman" w:cs="Times New Roman"/>
          <w:color w:val="FF0000"/>
          <w:sz w:val="28"/>
          <w:szCs w:val="28"/>
        </w:rPr>
        <w:t>24</w:t>
      </w:r>
      <w:r w:rsidRPr="00862D0D">
        <w:rPr>
          <w:rFonts w:ascii="標楷體" w:eastAsia="標楷體" w:hAnsi="標楷體" w:hint="eastAsia"/>
          <w:color w:val="FF0000"/>
          <w:sz w:val="28"/>
          <w:szCs w:val="28"/>
        </w:rPr>
        <w:t xml:space="preserve"> 個月以上但患有移植物抗宿主病或疾病復發；自體免疫疾病合併免疫缺陷。</w:t>
      </w:r>
      <w:r w:rsidRPr="00862D0D">
        <w:rPr>
          <w:rFonts w:ascii="標楷體" w:eastAsia="標楷體" w:hAnsi="標楷體"/>
          <w:sz w:val="28"/>
          <w:szCs w:val="28"/>
        </w:rPr>
        <w:cr/>
      </w:r>
    </w:p>
    <w:p w14:paraId="07AF27E4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資料來源</w:t>
      </w:r>
      <w:r w:rsidRPr="00862D0D">
        <w:rPr>
          <w:rFonts w:ascii="標楷體" w:eastAsia="標楷體" w:hAnsi="標楷體" w:hint="eastAsia"/>
          <w:sz w:val="28"/>
          <w:szCs w:val="28"/>
        </w:rPr>
        <w:t>：</w:t>
      </w:r>
      <w:bookmarkStart w:id="0" w:name="_GoBack"/>
      <w:bookmarkEnd w:id="0"/>
    </w:p>
    <w:p w14:paraId="659A01BC" w14:textId="77777777" w:rsidR="00862D0D" w:rsidRPr="00862D0D" w:rsidRDefault="00862D0D" w:rsidP="00862D0D">
      <w:pPr>
        <w:rPr>
          <w:rFonts w:ascii="標楷體" w:eastAsia="標楷體" w:hAnsi="標楷體"/>
          <w:sz w:val="28"/>
          <w:szCs w:val="28"/>
        </w:rPr>
      </w:pPr>
      <w:r w:rsidRPr="00862D0D">
        <w:rPr>
          <w:rFonts w:ascii="標楷體" w:eastAsia="標楷體" w:hAnsi="標楷體"/>
          <w:sz w:val="28"/>
          <w:szCs w:val="28"/>
        </w:rPr>
        <w:t>衛生福利部疾病管制署(</w:t>
      </w:r>
      <w:r w:rsidRPr="00862D0D">
        <w:rPr>
          <w:rFonts w:ascii="Times New Roman" w:eastAsia="標楷體" w:hAnsi="Times New Roman" w:cs="Times New Roman"/>
          <w:sz w:val="28"/>
          <w:szCs w:val="28"/>
        </w:rPr>
        <w:t>https://www.cdc.gov.tw/</w:t>
      </w:r>
      <w:r w:rsidRPr="00862D0D">
        <w:rPr>
          <w:rFonts w:ascii="標楷體" w:eastAsia="標楷體" w:hAnsi="標楷體"/>
          <w:sz w:val="28"/>
          <w:szCs w:val="28"/>
        </w:rPr>
        <w:t>)</w:t>
      </w:r>
    </w:p>
    <w:p w14:paraId="2CA65538" w14:textId="77777777" w:rsidR="00796907" w:rsidRPr="00862D0D" w:rsidRDefault="00796907" w:rsidP="00862D0D">
      <w:pPr>
        <w:rPr>
          <w:rFonts w:ascii="標楷體" w:eastAsia="標楷體" w:hAnsi="標楷體" w:cs="Times New Roman"/>
          <w:sz w:val="28"/>
          <w:szCs w:val="28"/>
        </w:rPr>
      </w:pPr>
    </w:p>
    <w:sectPr w:rsidR="00796907" w:rsidRPr="00862D0D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DA9C74" w14:textId="77777777" w:rsidR="00F0059C" w:rsidRDefault="00F0059C" w:rsidP="000E23C8">
      <w:r>
        <w:separator/>
      </w:r>
    </w:p>
  </w:endnote>
  <w:endnote w:type="continuationSeparator" w:id="0">
    <w:p w14:paraId="60761FBF" w14:textId="77777777" w:rsidR="00F0059C" w:rsidRDefault="00F0059C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5B3FD0" w14:textId="77777777" w:rsidR="00F0059C" w:rsidRDefault="00F0059C" w:rsidP="000E23C8">
      <w:r>
        <w:separator/>
      </w:r>
    </w:p>
  </w:footnote>
  <w:footnote w:type="continuationSeparator" w:id="0">
    <w:p w14:paraId="54978B37" w14:textId="77777777" w:rsidR="00F0059C" w:rsidRDefault="00F0059C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3EE5FA0"/>
    <w:multiLevelType w:val="multilevel"/>
    <w:tmpl w:val="7CCAE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7" w15:restartNumberingAfterBreak="0">
    <w:nsid w:val="18116AB4"/>
    <w:multiLevelType w:val="hybridMultilevel"/>
    <w:tmpl w:val="B7605582"/>
    <w:lvl w:ilvl="0" w:tplc="DFE87B04">
      <w:start w:val="5"/>
      <w:numFmt w:val="decimalFullWidth"/>
      <w:lvlText w:val="%1．"/>
      <w:lvlJc w:val="left"/>
      <w:pPr>
        <w:ind w:left="90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8" w15:restartNumberingAfterBreak="0">
    <w:nsid w:val="1A2C4C4B"/>
    <w:multiLevelType w:val="hybridMultilevel"/>
    <w:tmpl w:val="2C4CCA4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FEA6E3F"/>
    <w:multiLevelType w:val="hybridMultilevel"/>
    <w:tmpl w:val="8E4EB414"/>
    <w:lvl w:ilvl="0" w:tplc="04090001">
      <w:start w:val="1"/>
      <w:numFmt w:val="bullet"/>
      <w:lvlText w:val=""/>
      <w:lvlJc w:val="left"/>
      <w:pPr>
        <w:ind w:left="9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5" w:hanging="480"/>
      </w:pPr>
      <w:rPr>
        <w:rFonts w:ascii="Wingdings" w:hAnsi="Wingdings" w:hint="default"/>
      </w:rPr>
    </w:lvl>
  </w:abstractNum>
  <w:abstractNum w:abstractNumId="17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8" w15:restartNumberingAfterBreak="0">
    <w:nsid w:val="3AA63A17"/>
    <w:multiLevelType w:val="hybridMultilevel"/>
    <w:tmpl w:val="6F4078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4BB7884"/>
    <w:multiLevelType w:val="hybridMultilevel"/>
    <w:tmpl w:val="0E4E04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58C3E8A"/>
    <w:multiLevelType w:val="hybridMultilevel"/>
    <w:tmpl w:val="8E98F7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26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7" w15:restartNumberingAfterBreak="0">
    <w:nsid w:val="56DF702B"/>
    <w:multiLevelType w:val="hybridMultilevel"/>
    <w:tmpl w:val="421E009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9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31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3"/>
  </w:num>
  <w:num w:numId="2">
    <w:abstractNumId w:val="28"/>
  </w:num>
  <w:num w:numId="3">
    <w:abstractNumId w:val="30"/>
  </w:num>
  <w:num w:numId="4">
    <w:abstractNumId w:val="17"/>
  </w:num>
  <w:num w:numId="5">
    <w:abstractNumId w:val="1"/>
  </w:num>
  <w:num w:numId="6">
    <w:abstractNumId w:val="29"/>
    <w:lvlOverride w:ilvl="0">
      <w:startOverride w:val="50"/>
    </w:lvlOverride>
  </w:num>
  <w:num w:numId="7">
    <w:abstractNumId w:val="31"/>
    <w:lvlOverride w:ilvl="0">
      <w:startOverride w:val="50"/>
    </w:lvlOverride>
  </w:num>
  <w:num w:numId="8">
    <w:abstractNumId w:val="14"/>
    <w:lvlOverride w:ilvl="0">
      <w:startOverride w:val="50"/>
    </w:lvlOverride>
  </w:num>
  <w:num w:numId="9">
    <w:abstractNumId w:val="0"/>
  </w:num>
  <w:num w:numId="10">
    <w:abstractNumId w:val="20"/>
  </w:num>
  <w:num w:numId="11">
    <w:abstractNumId w:val="11"/>
  </w:num>
  <w:num w:numId="12">
    <w:abstractNumId w:val="23"/>
  </w:num>
  <w:num w:numId="13">
    <w:abstractNumId w:val="3"/>
  </w:num>
  <w:num w:numId="14">
    <w:abstractNumId w:val="25"/>
  </w:num>
  <w:num w:numId="15">
    <w:abstractNumId w:val="4"/>
  </w:num>
  <w:num w:numId="16">
    <w:abstractNumId w:val="26"/>
  </w:num>
  <w:num w:numId="17">
    <w:abstractNumId w:val="5"/>
  </w:num>
  <w:num w:numId="18">
    <w:abstractNumId w:val="19"/>
  </w:num>
  <w:num w:numId="19">
    <w:abstractNumId w:val="10"/>
  </w:num>
  <w:num w:numId="20">
    <w:abstractNumId w:val="32"/>
  </w:num>
  <w:num w:numId="21">
    <w:abstractNumId w:val="33"/>
  </w:num>
  <w:num w:numId="22">
    <w:abstractNumId w:val="6"/>
  </w:num>
  <w:num w:numId="23">
    <w:abstractNumId w:val="12"/>
  </w:num>
  <w:num w:numId="24">
    <w:abstractNumId w:val="15"/>
  </w:num>
  <w:num w:numId="25">
    <w:abstractNumId w:val="9"/>
  </w:num>
  <w:num w:numId="26">
    <w:abstractNumId w:val="34"/>
  </w:num>
  <w:num w:numId="27">
    <w:abstractNumId w:val="24"/>
  </w:num>
  <w:num w:numId="28">
    <w:abstractNumId w:val="22"/>
  </w:num>
  <w:num w:numId="29">
    <w:abstractNumId w:val="8"/>
  </w:num>
  <w:num w:numId="30">
    <w:abstractNumId w:val="7"/>
  </w:num>
  <w:num w:numId="31">
    <w:abstractNumId w:val="18"/>
  </w:num>
  <w:num w:numId="32">
    <w:abstractNumId w:val="16"/>
  </w:num>
  <w:num w:numId="33">
    <w:abstractNumId w:val="2"/>
  </w:num>
  <w:num w:numId="34">
    <w:abstractNumId w:val="21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27B6A"/>
    <w:rsid w:val="00044BBD"/>
    <w:rsid w:val="00086A98"/>
    <w:rsid w:val="000A0C7B"/>
    <w:rsid w:val="000C3765"/>
    <w:rsid w:val="000E23C8"/>
    <w:rsid w:val="000E4E2C"/>
    <w:rsid w:val="001539BA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435BD"/>
    <w:rsid w:val="0035246C"/>
    <w:rsid w:val="003774B2"/>
    <w:rsid w:val="003D7AC5"/>
    <w:rsid w:val="00422FB7"/>
    <w:rsid w:val="00453602"/>
    <w:rsid w:val="00470362"/>
    <w:rsid w:val="004824B2"/>
    <w:rsid w:val="0048748A"/>
    <w:rsid w:val="004967FC"/>
    <w:rsid w:val="004B5AB5"/>
    <w:rsid w:val="004E5176"/>
    <w:rsid w:val="004E6DE3"/>
    <w:rsid w:val="00524E97"/>
    <w:rsid w:val="005C2C44"/>
    <w:rsid w:val="006246DD"/>
    <w:rsid w:val="006725E3"/>
    <w:rsid w:val="00685685"/>
    <w:rsid w:val="006C3651"/>
    <w:rsid w:val="006F3D2F"/>
    <w:rsid w:val="00714921"/>
    <w:rsid w:val="00776C44"/>
    <w:rsid w:val="00796907"/>
    <w:rsid w:val="007C254A"/>
    <w:rsid w:val="007D1A24"/>
    <w:rsid w:val="007D31B5"/>
    <w:rsid w:val="008115A5"/>
    <w:rsid w:val="00821C4D"/>
    <w:rsid w:val="00827BC1"/>
    <w:rsid w:val="00852597"/>
    <w:rsid w:val="008539D8"/>
    <w:rsid w:val="00862D0D"/>
    <w:rsid w:val="00880054"/>
    <w:rsid w:val="00886601"/>
    <w:rsid w:val="00894DAB"/>
    <w:rsid w:val="008C6C81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AA5ED1"/>
    <w:rsid w:val="00AD3B0B"/>
    <w:rsid w:val="00BC7EDA"/>
    <w:rsid w:val="00C25A1C"/>
    <w:rsid w:val="00C44DA4"/>
    <w:rsid w:val="00C840D5"/>
    <w:rsid w:val="00D41AB6"/>
    <w:rsid w:val="00D5781E"/>
    <w:rsid w:val="00DB5C43"/>
    <w:rsid w:val="00E02B42"/>
    <w:rsid w:val="00E3242F"/>
    <w:rsid w:val="00E414B8"/>
    <w:rsid w:val="00E71AA3"/>
    <w:rsid w:val="00E8463B"/>
    <w:rsid w:val="00EB428D"/>
    <w:rsid w:val="00F0059C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b">
    <w:name w:val="Hyperlink"/>
    <w:basedOn w:val="a0"/>
    <w:uiPriority w:val="99"/>
    <w:unhideWhenUsed/>
    <w:rsid w:val="00422FB7"/>
    <w:rPr>
      <w:color w:val="0563C1" w:themeColor="hyperlink"/>
      <w:u w:val="single"/>
    </w:rPr>
  </w:style>
  <w:style w:type="table" w:customStyle="1" w:styleId="1">
    <w:name w:val="表格格線1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格格線4"/>
    <w:basedOn w:val="a1"/>
    <w:next w:val="aa"/>
    <w:uiPriority w:val="39"/>
    <w:rsid w:val="00422FB7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2</cp:revision>
  <cp:lastPrinted>2022-12-19T07:34:00Z</cp:lastPrinted>
  <dcterms:created xsi:type="dcterms:W3CDTF">2023-05-04T01:25:00Z</dcterms:created>
  <dcterms:modified xsi:type="dcterms:W3CDTF">2023-05-04T01:25:00Z</dcterms:modified>
</cp:coreProperties>
</file>